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B675F" w14:textId="30CA824D" w:rsidR="00654271" w:rsidRPr="00254C81" w:rsidRDefault="0018232D">
      <w:pPr>
        <w:rPr>
          <w:sz w:val="18"/>
          <w:szCs w:val="18"/>
        </w:rPr>
      </w:pPr>
      <w:r w:rsidRPr="00254C81">
        <w:rPr>
          <w:sz w:val="18"/>
          <w:szCs w:val="18"/>
        </w:rPr>
        <w:t>Working Group: Kylie Dunstan, Jen Galloway, Ruth Redfern, Toni Somes</w:t>
      </w:r>
      <w:r w:rsidR="00802DB9">
        <w:rPr>
          <w:sz w:val="18"/>
          <w:szCs w:val="18"/>
        </w:rPr>
        <w:br/>
      </w:r>
      <w:r w:rsidR="00326A64" w:rsidRPr="00254C81">
        <w:rPr>
          <w:sz w:val="18"/>
          <w:szCs w:val="18"/>
        </w:rPr>
        <w:t xml:space="preserve">April </w:t>
      </w:r>
      <w:r w:rsidR="00654271" w:rsidRPr="00254C81">
        <w:rPr>
          <w:sz w:val="18"/>
          <w:szCs w:val="18"/>
        </w:rPr>
        <w:t>2025</w:t>
      </w:r>
    </w:p>
    <w:p w14:paraId="65CC236D" w14:textId="5AD2CEE0" w:rsidR="00225411" w:rsidRDefault="00571A9D" w:rsidP="00225411">
      <w:pPr>
        <w:pStyle w:val="Heading3"/>
      </w:pPr>
      <w:r>
        <w:t>OVERVIEW</w:t>
      </w:r>
    </w:p>
    <w:p w14:paraId="63780036" w14:textId="77777777" w:rsidR="00225411" w:rsidRDefault="00225411" w:rsidP="00225411">
      <w:r w:rsidRPr="00577026">
        <w:t>Australia's 15 Rural Research and Development Corporations (RDCs) and the levy­ funded model that underpins research, development and extension (RD&amp;E) are at a critical juncture.</w:t>
      </w:r>
    </w:p>
    <w:p w14:paraId="0DACFBE0" w14:textId="22EF274D" w:rsidR="00225411" w:rsidRDefault="0059142D" w:rsidP="00225411">
      <w:r>
        <w:t xml:space="preserve">For 35 years </w:t>
      </w:r>
      <w:r w:rsidR="00225411" w:rsidRPr="00577026">
        <w:t>RDCs have supported productivity gains across the agricultural sector and farmers in their quest to increase farmgate returns.</w:t>
      </w:r>
    </w:p>
    <w:p w14:paraId="40477533" w14:textId="2014D7D1" w:rsidR="00225411" w:rsidRDefault="00E43D07" w:rsidP="00225411">
      <w:r>
        <w:t xml:space="preserve">Today </w:t>
      </w:r>
      <w:r w:rsidR="00225411" w:rsidRPr="00577026">
        <w:t xml:space="preserve">RDCs </w:t>
      </w:r>
      <w:r>
        <w:t>face</w:t>
      </w:r>
      <w:r w:rsidR="003E33CB">
        <w:t xml:space="preserve"> increasing </w:t>
      </w:r>
      <w:r w:rsidR="00225411" w:rsidRPr="00577026">
        <w:t>scrutiny into the levy system and agricultural innovation</w:t>
      </w:r>
      <w:r w:rsidR="00F74CA9">
        <w:t>,</w:t>
      </w:r>
      <w:r w:rsidR="00225411" w:rsidRPr="00577026">
        <w:t xml:space="preserve"> from a Commonwealth Government with declining revenues, and from farmers and industry leaders with often divergent views about the value and purpose of RDC RD&amp;E.</w:t>
      </w:r>
    </w:p>
    <w:p w14:paraId="6418917E" w14:textId="77777777" w:rsidR="00CC108D" w:rsidRDefault="00CC108D" w:rsidP="00CC108D">
      <w:pPr>
        <w:pStyle w:val="Heading2"/>
      </w:pPr>
      <w:r>
        <w:t>STRATEGIC INTENT</w:t>
      </w:r>
    </w:p>
    <w:p w14:paraId="1FE93035" w14:textId="230C662A" w:rsidR="0018232D" w:rsidRDefault="00A364F6">
      <w:r>
        <w:t>T</w:t>
      </w:r>
      <w:r w:rsidR="00EB3249">
        <w:t>h</w:t>
      </w:r>
      <w:r w:rsidR="00E64F14">
        <w:t xml:space="preserve">is strategy aims </w:t>
      </w:r>
      <w:r w:rsidR="00133447">
        <w:t xml:space="preserve">to </w:t>
      </w:r>
      <w:r w:rsidR="00833BE4">
        <w:t>provide a</w:t>
      </w:r>
      <w:r w:rsidR="00225411">
        <w:t xml:space="preserve"> collaborative approach </w:t>
      </w:r>
      <w:r w:rsidR="00833BE4">
        <w:t>for</w:t>
      </w:r>
      <w:r w:rsidR="00225411">
        <w:t xml:space="preserve"> 15 distinct RDCs to achieve the mutual goal of building trust in and support for the RDC </w:t>
      </w:r>
      <w:r w:rsidR="00EC1062">
        <w:t>model and</w:t>
      </w:r>
      <w:r w:rsidR="00B337E2">
        <w:t xml:space="preserve"> ensur</w:t>
      </w:r>
      <w:r w:rsidR="00FB6B1C">
        <w:t>e</w:t>
      </w:r>
      <w:r w:rsidR="00B337E2">
        <w:t xml:space="preserve"> ongoing commitment for </w:t>
      </w:r>
      <w:r w:rsidR="00225411">
        <w:t xml:space="preserve">continued investment in </w:t>
      </w:r>
      <w:r w:rsidR="00B337E2">
        <w:t xml:space="preserve">the </w:t>
      </w:r>
      <w:r w:rsidR="00225411">
        <w:t xml:space="preserve">RDCs. </w:t>
      </w:r>
    </w:p>
    <w:p w14:paraId="019DAFF4" w14:textId="0BB4B17C" w:rsidR="00050C8D" w:rsidRDefault="00612DD5">
      <w:r>
        <w:t xml:space="preserve">The </w:t>
      </w:r>
      <w:r w:rsidR="00050C8D">
        <w:t>strategy enhance</w:t>
      </w:r>
      <w:r w:rsidR="006E5E78">
        <w:t>s</w:t>
      </w:r>
      <w:r w:rsidR="00050C8D">
        <w:t xml:space="preserve"> and build</w:t>
      </w:r>
      <w:r w:rsidR="006E5E78">
        <w:t>s</w:t>
      </w:r>
      <w:r w:rsidR="00050C8D">
        <w:t xml:space="preserve"> on</w:t>
      </w:r>
      <w:r w:rsidR="005E0FBC">
        <w:t xml:space="preserve"> the strategies already in place by the individual RDCs</w:t>
      </w:r>
      <w:r w:rsidR="00B07A5B">
        <w:t>.</w:t>
      </w:r>
    </w:p>
    <w:p w14:paraId="6CC13827" w14:textId="72F339E7" w:rsidR="00571A9D" w:rsidRDefault="00571A9D" w:rsidP="00571A9D">
      <w:pPr>
        <w:pStyle w:val="Heading2"/>
      </w:pPr>
      <w:r>
        <w:t>CONTEXT</w:t>
      </w:r>
    </w:p>
    <w:p w14:paraId="0BD8666C" w14:textId="06843B60" w:rsidR="00814CEB" w:rsidRPr="00814CEB" w:rsidRDefault="00571A9D" w:rsidP="00814CEB">
      <w:r w:rsidRPr="005A2E7C">
        <w:t>Rural industries</w:t>
      </w:r>
      <w:r>
        <w:t xml:space="preserve"> – agriculture, fisheries and forestry – are economically, environmentally, socially and culturally important for Australia.</w:t>
      </w:r>
      <w:r w:rsidR="00814CEB" w:rsidRPr="00814CEB">
        <w:rPr>
          <w:rFonts w:ascii="Segoe UI" w:eastAsia="Times New Roman" w:hAnsi="Segoe UI" w:cs="Segoe UI"/>
          <w:kern w:val="0"/>
          <w:sz w:val="18"/>
          <w:szCs w:val="18"/>
          <w:shd w:val="clear" w:color="auto" w:fill="FFFFFF"/>
          <w:lang w:eastAsia="en-AU"/>
          <w14:ligatures w14:val="none"/>
        </w:rPr>
        <w:t xml:space="preserve"> </w:t>
      </w:r>
      <w:r w:rsidR="00EE47CE">
        <w:t>The g</w:t>
      </w:r>
      <w:r w:rsidR="00814CEB" w:rsidRPr="00814CEB">
        <w:t xml:space="preserve">ross value of </w:t>
      </w:r>
      <w:r w:rsidR="00EE47CE">
        <w:t xml:space="preserve">national </w:t>
      </w:r>
      <w:r w:rsidR="00814CEB" w:rsidRPr="00814CEB">
        <w:t>agricultural production has increased by 34% in the past 20 years from $61.5 billion in 2004–05 to $82.4 billion in 2023–24.</w:t>
      </w:r>
      <w:r w:rsidR="00A4290D">
        <w:t xml:space="preserve"> </w:t>
      </w:r>
      <w:r w:rsidR="00814CEB" w:rsidRPr="00814CEB">
        <w:t>Including fisheries and forestry, the total value of production has increased by 30% in the same 20-year period from approximately $67.7 billion to $88.3 billion.</w:t>
      </w:r>
    </w:p>
    <w:p w14:paraId="4B9412FF" w14:textId="45009D93" w:rsidR="00571A9D" w:rsidRDefault="00571A9D" w:rsidP="00571A9D">
      <w:r>
        <w:t xml:space="preserve"> The successful, long-term industry-government co-investment partnership delivered through the </w:t>
      </w:r>
      <w:r w:rsidR="00EB1ED6">
        <w:t>RDCs</w:t>
      </w:r>
      <w:r>
        <w:t xml:space="preserve"> </w:t>
      </w:r>
      <w:r w:rsidR="00A4290D">
        <w:t xml:space="preserve">has </w:t>
      </w:r>
      <w:r>
        <w:t>enable</w:t>
      </w:r>
      <w:r w:rsidR="00A4290D">
        <w:t>d</w:t>
      </w:r>
      <w:r>
        <w:t xml:space="preserve"> the strategic research and innovation investments for industry that underpin productivity growth </w:t>
      </w:r>
      <w:r w:rsidR="001F4BE8">
        <w:t xml:space="preserve">whilst </w:t>
      </w:r>
      <w:r w:rsidR="0045116F">
        <w:t xml:space="preserve">considering </w:t>
      </w:r>
      <w:r>
        <w:t xml:space="preserve">environmental and social impacts. </w:t>
      </w:r>
    </w:p>
    <w:p w14:paraId="2AF66532" w14:textId="35368194" w:rsidR="00571A9D" w:rsidRPr="005A2E7C" w:rsidRDefault="00571A9D" w:rsidP="00571A9D">
      <w:r w:rsidRPr="005A2E7C">
        <w:t xml:space="preserve">The Rural RDC model is unique and envied around the world. It is stable, sustainable and it works. It succeeds because it </w:t>
      </w:r>
      <w:r>
        <w:t xml:space="preserve">brings the innovation system closer to the research end user, and it </w:t>
      </w:r>
      <w:r w:rsidRPr="005A2E7C">
        <w:t>allows expensive, specialist and time-consuming projects to be commissioned and managed</w:t>
      </w:r>
      <w:r>
        <w:t>.</w:t>
      </w:r>
      <w:r w:rsidRPr="005A2E7C">
        <w:t xml:space="preserve"> </w:t>
      </w:r>
      <w:r>
        <w:t xml:space="preserve">This is a task </w:t>
      </w:r>
      <w:r w:rsidRPr="005A2E7C">
        <w:t xml:space="preserve">beyond the capacity </w:t>
      </w:r>
      <w:r>
        <w:t xml:space="preserve">and resources </w:t>
      </w:r>
      <w:r w:rsidRPr="005A2E7C">
        <w:t xml:space="preserve">of most individual agricultural enterprises, and – in some cases – entire industries. </w:t>
      </w:r>
    </w:p>
    <w:p w14:paraId="4994FFDD" w14:textId="6A6388D8" w:rsidR="00571A9D" w:rsidRDefault="00571A9D" w:rsidP="00571A9D">
      <w:r w:rsidRPr="005A2E7C">
        <w:t xml:space="preserve">The RDCs continue to look for opportunities for collaboration that draw on the collective strength and experience of the group, to deliver better results for levy and </w:t>
      </w:r>
      <w:r w:rsidR="0094238C" w:rsidRPr="005A2E7C">
        <w:t>taxpayers</w:t>
      </w:r>
      <w:r w:rsidRPr="005A2E7C">
        <w:t>.</w:t>
      </w:r>
      <w:r>
        <w:t xml:space="preserve"> </w:t>
      </w:r>
    </w:p>
    <w:p w14:paraId="74288CCF" w14:textId="71726A2E" w:rsidR="00571A9D" w:rsidRPr="005A2E7C" w:rsidRDefault="00571A9D" w:rsidP="00571A9D">
      <w:r>
        <w:t xml:space="preserve">The RDCs are independent (arms-length but not hands-off) from both industry and government, and are tasked with delivering economic, social and environmental benefits to </w:t>
      </w:r>
      <w:r w:rsidR="008B4AC1">
        <w:t xml:space="preserve">their </w:t>
      </w:r>
      <w:r>
        <w:t>industr</w:t>
      </w:r>
      <w:r w:rsidR="008B4AC1">
        <w:t>ies</w:t>
      </w:r>
      <w:r>
        <w:t>, communit</w:t>
      </w:r>
      <w:r w:rsidR="008B4AC1">
        <w:t>ies</w:t>
      </w:r>
      <w:r>
        <w:t xml:space="preserve"> and the nation. The RDCs are also independent of the research </w:t>
      </w:r>
      <w:r w:rsidR="0060265F">
        <w:t>community and</w:t>
      </w:r>
      <w:r>
        <w:t xml:space="preserve"> are able to direct resources within a portfolio that balances short-, medium- and long-term impacts and benefits for industry and the community.</w:t>
      </w:r>
    </w:p>
    <w:p w14:paraId="52AEE4FF" w14:textId="00FD71EF" w:rsidR="00571A9D" w:rsidRPr="008C4742" w:rsidRDefault="00571A9D" w:rsidP="00571A9D">
      <w:r w:rsidRPr="005A2E7C">
        <w:lastRenderedPageBreak/>
        <w:t xml:space="preserve">With </w:t>
      </w:r>
      <w:r>
        <w:t xml:space="preserve">our </w:t>
      </w:r>
      <w:r w:rsidRPr="005A2E7C">
        <w:t>R&amp;D partners</w:t>
      </w:r>
      <w:r>
        <w:t xml:space="preserve"> (</w:t>
      </w:r>
      <w:r w:rsidR="008C4742">
        <w:t>including</w:t>
      </w:r>
      <w:r>
        <w:t xml:space="preserve"> State and Territory departments, CSIRO and Universities), R</w:t>
      </w:r>
      <w:r w:rsidRPr="005A2E7C">
        <w:t>DCs deliver relevant and practical information for Australia’s primary producers and industries to use on-farm, in their businesses and throughout supply chains.</w:t>
      </w:r>
      <w:r w:rsidRPr="00F34317">
        <w:t xml:space="preserve"> </w:t>
      </w:r>
      <w:r>
        <w:t xml:space="preserve">Economic analysis </w:t>
      </w:r>
      <w:r w:rsidRPr="008C4742">
        <w:t xml:space="preserve">shows that the RDCs leverage $1.27 of co-contribution for every $1 invested. </w:t>
      </w:r>
    </w:p>
    <w:p w14:paraId="1A93F7F6" w14:textId="3BEA1C93" w:rsidR="00571A9D" w:rsidRPr="008C4742" w:rsidRDefault="008C4742" w:rsidP="008C4742">
      <w:pPr>
        <w:tabs>
          <w:tab w:val="left" w:pos="5840"/>
        </w:tabs>
      </w:pPr>
      <w:r w:rsidRPr="008C4742">
        <w:t>In 2023-24, RDCs helped to direct and invest around 40</w:t>
      </w:r>
      <w:r w:rsidR="004933D9">
        <w:t>%</w:t>
      </w:r>
      <w:r w:rsidRPr="008C4742">
        <w:t xml:space="preserve"> of all Australian agricultural R&amp;D funding. </w:t>
      </w:r>
      <w:r w:rsidR="00571A9D" w:rsidRPr="008C4742">
        <w:t>The total funding received by all RDCs in 2023</w:t>
      </w:r>
      <w:r w:rsidRPr="008C4742">
        <w:t>-</w:t>
      </w:r>
      <w:r w:rsidR="00571A9D" w:rsidRPr="008C4742">
        <w:t xml:space="preserve">24 was around $1.47 billion – $573.2 million from private industry levy contributions, $470.3 million from Government R&amp;D matching contribution, and $427.6 million from other sources, including project-specific grants. </w:t>
      </w:r>
    </w:p>
    <w:p w14:paraId="3C2A8E3C" w14:textId="2C1FC077" w:rsidR="00571A9D" w:rsidRDefault="00571A9D" w:rsidP="00571A9D">
      <w:pPr>
        <w:tabs>
          <w:tab w:val="left" w:pos="5840"/>
        </w:tabs>
      </w:pPr>
      <w:r>
        <w:t>The transformative value of this investment was underscored recently by Australian Bureau of Agricultural and Resource Economics and Sciences (ABARES) research that found for every $1 invested in agricultural R&amp;D, an almost $8 return is generated for farmers over 10 years</w:t>
      </w:r>
      <w:r w:rsidR="00BE0288">
        <w:t>. T</w:t>
      </w:r>
      <w:r>
        <w:t>he benefits don’t get much clearer than that.</w:t>
      </w:r>
    </w:p>
    <w:p w14:paraId="39471E5B" w14:textId="478D678E" w:rsidR="0018232D" w:rsidRDefault="00B41E69" w:rsidP="0018232D">
      <w:pPr>
        <w:pStyle w:val="Heading2"/>
      </w:pPr>
      <w:r>
        <w:t>OBJECTIVES</w:t>
      </w:r>
    </w:p>
    <w:p w14:paraId="652EF260" w14:textId="4F383AF9" w:rsidR="00574935" w:rsidRDefault="009E008E" w:rsidP="00574935">
      <w:r>
        <w:t>T</w:t>
      </w:r>
      <w:r w:rsidR="00BA1DE9">
        <w:t>he</w:t>
      </w:r>
      <w:r w:rsidR="00540A4C">
        <w:t xml:space="preserve"> overarching</w:t>
      </w:r>
      <w:r w:rsidR="00874F35">
        <w:t xml:space="preserve"> </w:t>
      </w:r>
      <w:r w:rsidR="00B41E69">
        <w:t xml:space="preserve">objective </w:t>
      </w:r>
      <w:r w:rsidR="00874F35">
        <w:t>of this strateg</w:t>
      </w:r>
      <w:r w:rsidR="00540A4C">
        <w:t>y is to ensure ongoing</w:t>
      </w:r>
      <w:r w:rsidR="00574935">
        <w:t xml:space="preserve"> support for the RDC model from key decision makers</w:t>
      </w:r>
      <w:r w:rsidR="00540A4C">
        <w:t>.</w:t>
      </w:r>
    </w:p>
    <w:p w14:paraId="6BF4F0BA" w14:textId="315E9D6C" w:rsidR="00540A4C" w:rsidRDefault="00540A4C" w:rsidP="00574935">
      <w:r>
        <w:t>This will be achieved through:</w:t>
      </w:r>
    </w:p>
    <w:p w14:paraId="380212EA" w14:textId="5B4F4862" w:rsidR="00FF71FA" w:rsidRDefault="006D6549" w:rsidP="006D6549">
      <w:pPr>
        <w:pStyle w:val="ListParagraph"/>
        <w:numPr>
          <w:ilvl w:val="0"/>
          <w:numId w:val="1"/>
        </w:numPr>
      </w:pPr>
      <w:r>
        <w:t>Build</w:t>
      </w:r>
      <w:r w:rsidR="00540A4C">
        <w:t>ing</w:t>
      </w:r>
      <w:r w:rsidR="00574935">
        <w:t xml:space="preserve"> awareness of and trust i</w:t>
      </w:r>
      <w:r>
        <w:t>n</w:t>
      </w:r>
      <w:r w:rsidR="00B41E69">
        <w:t xml:space="preserve"> Australia’s RDCs</w:t>
      </w:r>
      <w:r w:rsidR="007D7A0C">
        <w:t xml:space="preserve"> </w:t>
      </w:r>
    </w:p>
    <w:p w14:paraId="2AD60E36" w14:textId="480D9C92" w:rsidR="0018232D" w:rsidRDefault="001B458C" w:rsidP="0018232D">
      <w:pPr>
        <w:pStyle w:val="ListParagraph"/>
        <w:numPr>
          <w:ilvl w:val="0"/>
          <w:numId w:val="1"/>
        </w:numPr>
      </w:pPr>
      <w:r>
        <w:t>Demonstrat</w:t>
      </w:r>
      <w:r w:rsidR="00540A4C">
        <w:t>ing</w:t>
      </w:r>
      <w:r>
        <w:t xml:space="preserve"> </w:t>
      </w:r>
      <w:r w:rsidR="00D65AAB">
        <w:t xml:space="preserve">RDC </w:t>
      </w:r>
      <w:r>
        <w:t>c</w:t>
      </w:r>
      <w:r w:rsidR="0018232D">
        <w:t>ollaborat</w:t>
      </w:r>
      <w:r>
        <w:t>ion</w:t>
      </w:r>
      <w:r w:rsidR="00DE42AB">
        <w:t xml:space="preserve"> </w:t>
      </w:r>
      <w:r w:rsidR="00D65AAB">
        <w:t>– how and why the RDCs work together</w:t>
      </w:r>
    </w:p>
    <w:p w14:paraId="1EE4E848" w14:textId="5F387ACC" w:rsidR="00EF0142" w:rsidRDefault="001B458C" w:rsidP="00EF0142">
      <w:pPr>
        <w:pStyle w:val="ListParagraph"/>
        <w:numPr>
          <w:ilvl w:val="0"/>
          <w:numId w:val="1"/>
        </w:numPr>
      </w:pPr>
      <w:r>
        <w:t>Demonstrat</w:t>
      </w:r>
      <w:r w:rsidR="00540A4C">
        <w:t>ing</w:t>
      </w:r>
      <w:r>
        <w:t xml:space="preserve"> </w:t>
      </w:r>
      <w:r w:rsidR="00D65AAB">
        <w:t xml:space="preserve">RDC </w:t>
      </w:r>
      <w:r>
        <w:t>i</w:t>
      </w:r>
      <w:r w:rsidR="0018232D">
        <w:t xml:space="preserve">mpact </w:t>
      </w:r>
      <w:r>
        <w:t>–</w:t>
      </w:r>
      <w:r w:rsidR="00D65AAB">
        <w:t xml:space="preserve"> t</w:t>
      </w:r>
      <w:r>
        <w:t>he collective impact achieved by the RDC model</w:t>
      </w:r>
    </w:p>
    <w:p w14:paraId="2BB61E72" w14:textId="77777777" w:rsidR="00225411" w:rsidRDefault="00225411" w:rsidP="00225411">
      <w:pPr>
        <w:pStyle w:val="Heading2"/>
      </w:pPr>
      <w:r>
        <w:t>KEY MESSAGES</w:t>
      </w:r>
    </w:p>
    <w:p w14:paraId="04BABD6E" w14:textId="4C82E67D" w:rsidR="00225411" w:rsidRDefault="00225411" w:rsidP="00225411">
      <w:pPr>
        <w:pStyle w:val="ListParagraph"/>
        <w:numPr>
          <w:ilvl w:val="0"/>
          <w:numId w:val="4"/>
        </w:numPr>
        <w:rPr>
          <w:bCs/>
        </w:rPr>
      </w:pPr>
      <w:r>
        <w:rPr>
          <w:bCs/>
        </w:rPr>
        <w:t xml:space="preserve">The RDCs are efficient, effective and deliver impact for rural industries. They are trusted partners in </w:t>
      </w:r>
      <w:r w:rsidR="007C37FE">
        <w:rPr>
          <w:bCs/>
        </w:rPr>
        <w:t>Australia’s</w:t>
      </w:r>
      <w:r>
        <w:rPr>
          <w:bCs/>
        </w:rPr>
        <w:t xml:space="preserve"> </w:t>
      </w:r>
      <w:r w:rsidR="007C37FE">
        <w:rPr>
          <w:bCs/>
        </w:rPr>
        <w:t>r</w:t>
      </w:r>
      <w:r>
        <w:rPr>
          <w:bCs/>
        </w:rPr>
        <w:t xml:space="preserve">ural R&amp;D </w:t>
      </w:r>
      <w:r w:rsidR="00A31284">
        <w:rPr>
          <w:bCs/>
        </w:rPr>
        <w:t>system and</w:t>
      </w:r>
      <w:r>
        <w:rPr>
          <w:bCs/>
        </w:rPr>
        <w:t xml:space="preserve"> play a unique role at the intersection between industry, government and the research community.</w:t>
      </w:r>
    </w:p>
    <w:p w14:paraId="0B01D96A" w14:textId="6B631AC8" w:rsidR="00225411" w:rsidRPr="005B6F14" w:rsidRDefault="00225411" w:rsidP="005B6F14">
      <w:pPr>
        <w:pStyle w:val="ListParagraph"/>
        <w:numPr>
          <w:ilvl w:val="0"/>
          <w:numId w:val="4"/>
        </w:numPr>
        <w:tabs>
          <w:tab w:val="left" w:pos="5840"/>
        </w:tabs>
      </w:pPr>
      <w:r>
        <w:rPr>
          <w:bCs/>
        </w:rPr>
        <w:t>Though their investments</w:t>
      </w:r>
      <w:r w:rsidR="007C37FE">
        <w:rPr>
          <w:bCs/>
        </w:rPr>
        <w:t>,</w:t>
      </w:r>
      <w:r>
        <w:rPr>
          <w:bCs/>
        </w:rPr>
        <w:t xml:space="preserve"> the RDCs deliver positive impacts that support the long-term future of Australia’s rural industries and rural and regional communities.</w:t>
      </w:r>
      <w:r w:rsidR="005B6F14">
        <w:rPr>
          <w:bCs/>
        </w:rPr>
        <w:t xml:space="preserve"> </w:t>
      </w:r>
      <w:r w:rsidR="005B6F14">
        <w:t>For every $1 invested in agricultural R&amp;D, an almost $8 return is generated for farmers over 10 years.</w:t>
      </w:r>
    </w:p>
    <w:p w14:paraId="40FC85E5" w14:textId="77777777" w:rsidR="005B6F14" w:rsidRDefault="00225411" w:rsidP="005B6F14">
      <w:pPr>
        <w:pStyle w:val="ListParagraph"/>
        <w:numPr>
          <w:ilvl w:val="0"/>
          <w:numId w:val="4"/>
        </w:numPr>
        <w:rPr>
          <w:bCs/>
        </w:rPr>
      </w:pPr>
      <w:r>
        <w:rPr>
          <w:bCs/>
        </w:rPr>
        <w:t>The RDCs effectively work together to increase the reach, effectiveness and efficiency of their operations and investments.</w:t>
      </w:r>
    </w:p>
    <w:p w14:paraId="6A35C43C" w14:textId="67F93AB9" w:rsidR="00225411" w:rsidRPr="005B6F14" w:rsidRDefault="00225411" w:rsidP="005B6F14">
      <w:pPr>
        <w:pStyle w:val="ListParagraph"/>
        <w:numPr>
          <w:ilvl w:val="0"/>
          <w:numId w:val="4"/>
        </w:numPr>
      </w:pPr>
      <w:r>
        <w:t xml:space="preserve">Productivity – </w:t>
      </w:r>
      <w:r w:rsidR="00E435EE">
        <w:t>Agricultural producti</w:t>
      </w:r>
      <w:r w:rsidR="00B43B72">
        <w:t>vity has outpaced o</w:t>
      </w:r>
      <w:r w:rsidR="00A31284">
        <w:t>ther sectors</w:t>
      </w:r>
      <w:r w:rsidR="0085431A">
        <w:t xml:space="preserve"> (</w:t>
      </w:r>
      <w:r>
        <w:t>ABARES</w:t>
      </w:r>
      <w:r w:rsidR="396C56AB">
        <w:t xml:space="preserve"> reference)</w:t>
      </w:r>
    </w:p>
    <w:p w14:paraId="5680529E" w14:textId="276CC2D7" w:rsidR="00883CC2" w:rsidRDefault="007C37FE" w:rsidP="0000227C">
      <w:pPr>
        <w:pStyle w:val="Heading2"/>
      </w:pPr>
      <w:r>
        <w:t xml:space="preserve">KEY </w:t>
      </w:r>
      <w:r w:rsidR="0000227C">
        <w:t>STAKEHOLDERS</w:t>
      </w:r>
    </w:p>
    <w:p w14:paraId="4AB0F8EB" w14:textId="52D4B923" w:rsidR="00511602" w:rsidRDefault="00511602">
      <w:r>
        <w:t>Government:</w:t>
      </w:r>
    </w:p>
    <w:p w14:paraId="18CCCBD2" w14:textId="680C7849" w:rsidR="0000227C" w:rsidRDefault="0000227C" w:rsidP="00511602">
      <w:pPr>
        <w:pStyle w:val="ListParagraph"/>
        <w:numPr>
          <w:ilvl w:val="0"/>
          <w:numId w:val="13"/>
        </w:numPr>
      </w:pPr>
      <w:r>
        <w:t>Minister for Agriculture, Fisheries and Forestry</w:t>
      </w:r>
    </w:p>
    <w:p w14:paraId="3648B191" w14:textId="1523D052" w:rsidR="0000227C" w:rsidRDefault="0000227C" w:rsidP="00511602">
      <w:pPr>
        <w:pStyle w:val="ListParagraph"/>
        <w:numPr>
          <w:ilvl w:val="0"/>
          <w:numId w:val="13"/>
        </w:numPr>
      </w:pPr>
      <w:r>
        <w:t>Shadow Minister</w:t>
      </w:r>
      <w:r w:rsidR="0076267F" w:rsidRPr="0076267F">
        <w:t xml:space="preserve"> </w:t>
      </w:r>
      <w:r w:rsidR="0076267F">
        <w:t>for Agriculture, Fisheries and Forestry</w:t>
      </w:r>
    </w:p>
    <w:p w14:paraId="18E46820" w14:textId="7653EDFD" w:rsidR="0000227C" w:rsidRDefault="0076267F" w:rsidP="00511602">
      <w:pPr>
        <w:pStyle w:val="ListParagraph"/>
        <w:numPr>
          <w:ilvl w:val="0"/>
          <w:numId w:val="13"/>
        </w:numPr>
      </w:pPr>
      <w:r>
        <w:t>Secretary of the Department of Agriculture, Fisheries and Forestry</w:t>
      </w:r>
    </w:p>
    <w:p w14:paraId="3CBCDA9D" w14:textId="390E096C" w:rsidR="0076267F" w:rsidRDefault="007404F3" w:rsidP="00511602">
      <w:pPr>
        <w:pStyle w:val="ListParagraph"/>
        <w:numPr>
          <w:ilvl w:val="0"/>
          <w:numId w:val="13"/>
        </w:numPr>
      </w:pPr>
      <w:r>
        <w:t xml:space="preserve">Ministers and Shadow Ministers for other key portfolios, including </w:t>
      </w:r>
      <w:r w:rsidR="002571DC">
        <w:t xml:space="preserve">Trade; </w:t>
      </w:r>
      <w:r>
        <w:t xml:space="preserve">Climate Change, Energy, the Environment and Water; Industry, Science and Resources; </w:t>
      </w:r>
      <w:r w:rsidR="00CD6929">
        <w:t>Employment and Workplace Relations;</w:t>
      </w:r>
      <w:r>
        <w:t xml:space="preserve"> Infrastructure, Transport, Regional Development, Communication and the Arts</w:t>
      </w:r>
      <w:r w:rsidR="00CD6929">
        <w:t>.</w:t>
      </w:r>
    </w:p>
    <w:p w14:paraId="66701E9D" w14:textId="53B40934" w:rsidR="0000227C" w:rsidRDefault="007404F3" w:rsidP="00511602">
      <w:pPr>
        <w:pStyle w:val="ListParagraph"/>
        <w:numPr>
          <w:ilvl w:val="0"/>
          <w:numId w:val="13"/>
        </w:numPr>
      </w:pPr>
      <w:r>
        <w:t xml:space="preserve">Departmental Secretaries for </w:t>
      </w:r>
      <w:r w:rsidR="00CD6929">
        <w:t>these Departments</w:t>
      </w:r>
      <w:r>
        <w:t xml:space="preserve"> </w:t>
      </w:r>
    </w:p>
    <w:p w14:paraId="32575DF0" w14:textId="3EEEA643" w:rsidR="00F622B0" w:rsidRDefault="00DE23D6" w:rsidP="00F622B0">
      <w:pPr>
        <w:pStyle w:val="ListParagraph"/>
        <w:numPr>
          <w:ilvl w:val="0"/>
          <w:numId w:val="13"/>
        </w:numPr>
      </w:pPr>
      <w:r>
        <w:t xml:space="preserve">Key Departmental </w:t>
      </w:r>
      <w:r w:rsidR="00F622B0">
        <w:t xml:space="preserve">and Ministerial office staff </w:t>
      </w:r>
    </w:p>
    <w:p w14:paraId="44455803" w14:textId="52D97777" w:rsidR="00511602" w:rsidRDefault="00511602" w:rsidP="00511602">
      <w:r>
        <w:t>Industry:</w:t>
      </w:r>
    </w:p>
    <w:p w14:paraId="5AAF8AAC" w14:textId="64950336" w:rsidR="00CD6929" w:rsidRDefault="00511602" w:rsidP="00CD6929">
      <w:pPr>
        <w:pStyle w:val="ListParagraph"/>
        <w:numPr>
          <w:ilvl w:val="0"/>
          <w:numId w:val="13"/>
        </w:numPr>
      </w:pPr>
      <w:r>
        <w:t xml:space="preserve">National </w:t>
      </w:r>
      <w:r w:rsidR="008702DF">
        <w:t>industry reps</w:t>
      </w:r>
      <w:r w:rsidR="00CD6929">
        <w:t xml:space="preserve">, including the National Farmers Federation. </w:t>
      </w:r>
      <w:r w:rsidR="004F497D">
        <w:t xml:space="preserve">(Complementing and aligning with industry relationships that the RDCs hold in their respective commodities). </w:t>
      </w:r>
    </w:p>
    <w:p w14:paraId="716008CF" w14:textId="52577C80" w:rsidR="0000227C" w:rsidRDefault="008702DF">
      <w:r>
        <w:t>Media</w:t>
      </w:r>
    </w:p>
    <w:p w14:paraId="304DE2B0" w14:textId="3E2AFA8E" w:rsidR="00AF4189" w:rsidRDefault="002571DC" w:rsidP="006B4B34">
      <w:r>
        <w:t>Targeted national media – The Australian, Guardian, AAP, ABC (Landline). With links through to regional outlets.</w:t>
      </w:r>
    </w:p>
    <w:p w14:paraId="141D06BF" w14:textId="77777777" w:rsidR="0000227C" w:rsidRDefault="0000227C" w:rsidP="0000227C">
      <w:pPr>
        <w:pStyle w:val="Heading2"/>
      </w:pPr>
      <w:r>
        <w:t>APPROACH</w:t>
      </w:r>
    </w:p>
    <w:p w14:paraId="389881B0" w14:textId="31B45797" w:rsidR="0000227C" w:rsidRDefault="0000227C" w:rsidP="0000227C">
      <w:r>
        <w:t>This strategy includes</w:t>
      </w:r>
      <w:r w:rsidR="004F497D">
        <w:t xml:space="preserve"> </w:t>
      </w:r>
      <w:r>
        <w:t xml:space="preserve">direct stakeholder engagement, strategic collaboration at key events, utilising the support of </w:t>
      </w:r>
      <w:r w:rsidR="00D376F0">
        <w:t>third-party</w:t>
      </w:r>
      <w:r>
        <w:t xml:space="preserve"> advocates, </w:t>
      </w:r>
      <w:r w:rsidR="00B42F68">
        <w:t xml:space="preserve">targeted publications </w:t>
      </w:r>
      <w:r>
        <w:t>and strategic media engagement.</w:t>
      </w:r>
    </w:p>
    <w:p w14:paraId="4DB40E89" w14:textId="673E3A72" w:rsidR="0000227C" w:rsidRDefault="0000227C" w:rsidP="0000227C">
      <w:r>
        <w:t>Priority activities</w:t>
      </w:r>
      <w:r w:rsidR="004F497D">
        <w:t>:</w:t>
      </w:r>
    </w:p>
    <w:p w14:paraId="54C4F309" w14:textId="57B768B1" w:rsidR="00CE20EC" w:rsidRPr="00CE20EC" w:rsidRDefault="00CE20EC" w:rsidP="0000227C">
      <w:pPr>
        <w:pStyle w:val="ListParagraph"/>
        <w:numPr>
          <w:ilvl w:val="0"/>
          <w:numId w:val="8"/>
        </w:numPr>
      </w:pPr>
      <w:r w:rsidRPr="00CE20EC">
        <w:rPr>
          <w:b/>
          <w:bCs/>
        </w:rPr>
        <w:t xml:space="preserve">Stakeholder </w:t>
      </w:r>
      <w:r w:rsidR="00F42452">
        <w:rPr>
          <w:b/>
          <w:bCs/>
        </w:rPr>
        <w:t>mapping</w:t>
      </w:r>
      <w:r>
        <w:t xml:space="preserve"> –awareness </w:t>
      </w:r>
      <w:r w:rsidR="004F497D">
        <w:t xml:space="preserve">levels </w:t>
      </w:r>
      <w:r>
        <w:t>and attitudes of key stakeholders to the RDC model</w:t>
      </w:r>
      <w:r w:rsidR="00803110">
        <w:t xml:space="preserve"> before and after the completion of the strategy</w:t>
      </w:r>
      <w:r w:rsidR="004F497D">
        <w:t xml:space="preserve"> and to inform key messaging. </w:t>
      </w:r>
    </w:p>
    <w:p w14:paraId="0F9E7032" w14:textId="570E2597" w:rsidR="0000227C" w:rsidRDefault="0000227C" w:rsidP="0000227C">
      <w:pPr>
        <w:pStyle w:val="ListParagraph"/>
        <w:numPr>
          <w:ilvl w:val="0"/>
          <w:numId w:val="8"/>
        </w:numPr>
      </w:pPr>
      <w:r w:rsidRPr="00E47384">
        <w:rPr>
          <w:b/>
          <w:bCs/>
        </w:rPr>
        <w:t>Direct engagement</w:t>
      </w:r>
      <w:r>
        <w:t xml:space="preserve"> – with key stakeholders, through briefings and meetings designed to build, maintain and support critical relationships. This will complement and align to the activities of individual RDCs. </w:t>
      </w:r>
    </w:p>
    <w:p w14:paraId="4C42DA26" w14:textId="4D949F67" w:rsidR="0000227C" w:rsidRDefault="0000227C" w:rsidP="0000227C">
      <w:pPr>
        <w:pStyle w:val="ListParagraph"/>
        <w:numPr>
          <w:ilvl w:val="0"/>
          <w:numId w:val="8"/>
        </w:numPr>
      </w:pPr>
      <w:r w:rsidRPr="2E15E2A8">
        <w:rPr>
          <w:b/>
          <w:bCs/>
        </w:rPr>
        <w:t>Leveraging key events</w:t>
      </w:r>
      <w:r>
        <w:t xml:space="preserve"> – </w:t>
      </w:r>
      <w:r w:rsidR="00617E5E">
        <w:t xml:space="preserve">attended by key stakeholders to visually demonstrate collaboration and impact. </w:t>
      </w:r>
      <w:r w:rsidR="5B6D4EF2">
        <w:t xml:space="preserve">Consideration for events related to government priorities, </w:t>
      </w:r>
      <w:r w:rsidR="1341840A">
        <w:t xml:space="preserve">(eg climate, science) </w:t>
      </w:r>
      <w:r w:rsidR="5B6D4EF2">
        <w:t>identify 2-3 core events annually</w:t>
      </w:r>
      <w:r w:rsidR="00F42452">
        <w:t xml:space="preserve"> which will be identified in the Annual Workplan</w:t>
      </w:r>
      <w:r w:rsidR="5B6D4EF2">
        <w:t xml:space="preserve">. </w:t>
      </w:r>
      <w:r w:rsidR="00F42452">
        <w:t xml:space="preserve">Examples are </w:t>
      </w:r>
      <w:r w:rsidR="00617E5E">
        <w:t xml:space="preserve"> </w:t>
      </w:r>
      <w:r w:rsidR="004C679D">
        <w:t xml:space="preserve">AgriFutures Australia’s annual </w:t>
      </w:r>
      <w:r>
        <w:t>evokeAG</w:t>
      </w:r>
      <w:r w:rsidR="004C679D">
        <w:t xml:space="preserve"> event</w:t>
      </w:r>
      <w:r>
        <w:t xml:space="preserve">, </w:t>
      </w:r>
      <w:r w:rsidR="004C679D">
        <w:t xml:space="preserve">the Department of Agriculture and </w:t>
      </w:r>
      <w:r>
        <w:t xml:space="preserve">ABARES </w:t>
      </w:r>
      <w:r w:rsidR="001F4FFD">
        <w:t xml:space="preserve">annual </w:t>
      </w:r>
      <w:r>
        <w:t>Outlook</w:t>
      </w:r>
      <w:r w:rsidR="001F4FFD">
        <w:t xml:space="preserve"> conference</w:t>
      </w:r>
      <w:r>
        <w:t xml:space="preserve">, </w:t>
      </w:r>
      <w:r w:rsidR="001F4FFD">
        <w:t>the biennial cross-</w:t>
      </w:r>
      <w:r>
        <w:t>RDC Impact Showcase</w:t>
      </w:r>
      <w:r w:rsidR="00C3470F">
        <w:t xml:space="preserve">, and </w:t>
      </w:r>
      <w:r w:rsidR="00880E3A">
        <w:t xml:space="preserve">the annual Science and Technology Australia </w:t>
      </w:r>
      <w:r w:rsidR="00C3470F">
        <w:t>Science meets Parliament</w:t>
      </w:r>
      <w:r w:rsidR="00880E3A">
        <w:t xml:space="preserve"> event</w:t>
      </w:r>
      <w:r w:rsidR="3E2C304C">
        <w:t>, NFF Conferenc</w:t>
      </w:r>
      <w:r w:rsidR="00F42452">
        <w:t xml:space="preserve">e, </w:t>
      </w:r>
      <w:r w:rsidR="6CCA3888">
        <w:t>Friends of Parliament</w:t>
      </w:r>
      <w:r w:rsidR="00F42452">
        <w:t>,</w:t>
      </w:r>
      <w:r w:rsidR="6CCA3888">
        <w:t xml:space="preserve"> </w:t>
      </w:r>
      <w:r w:rsidRPr="006B4B34">
        <w:t>PMs Prize for Science</w:t>
      </w:r>
      <w:r w:rsidR="00F42452" w:rsidRPr="00F42452">
        <w:t>.</w:t>
      </w:r>
    </w:p>
    <w:p w14:paraId="3BB7AF2F" w14:textId="59B40E21" w:rsidR="0000227C" w:rsidRDefault="00F42452" w:rsidP="0000227C">
      <w:pPr>
        <w:pStyle w:val="ListParagraph"/>
        <w:numPr>
          <w:ilvl w:val="0"/>
          <w:numId w:val="8"/>
        </w:numPr>
      </w:pPr>
      <w:r>
        <w:rPr>
          <w:b/>
          <w:bCs/>
        </w:rPr>
        <w:t>RDC Champions</w:t>
      </w:r>
      <w:r w:rsidR="0000227C">
        <w:t xml:space="preserve"> –</w:t>
      </w:r>
      <w:r>
        <w:t>enabling key stakeholders who wish to champion the RDC model within industry, research and government. T</w:t>
      </w:r>
      <w:r w:rsidR="00DB132C">
        <w:t xml:space="preserve">his involves </w:t>
      </w:r>
      <w:r>
        <w:t>a joint RDC briefing pack and shared narrative (overseen by RDC Communications GMs) which enables RDCs to brief their</w:t>
      </w:r>
      <w:r w:rsidR="0000227C">
        <w:t xml:space="preserve"> ‘RDC </w:t>
      </w:r>
      <w:r w:rsidR="00054562">
        <w:t>c</w:t>
      </w:r>
      <w:r w:rsidR="0000227C">
        <w:t>hampions’</w:t>
      </w:r>
      <w:r w:rsidR="008F1D6E">
        <w:t xml:space="preserve"> – a selection of </w:t>
      </w:r>
      <w:r w:rsidR="0000227C">
        <w:t>credible, influential and respected individuals with appropriate credentials</w:t>
      </w:r>
      <w:r>
        <w:t xml:space="preserve"> who wish to speak authoritatively about the benefits of the model.</w:t>
      </w:r>
      <w:r w:rsidR="0000227C">
        <w:t xml:space="preserve"> </w:t>
      </w:r>
    </w:p>
    <w:p w14:paraId="62481A2A" w14:textId="622C9580" w:rsidR="00A2227F" w:rsidRDefault="00687B51" w:rsidP="008066B8">
      <w:pPr>
        <w:pStyle w:val="ListParagraph"/>
        <w:numPr>
          <w:ilvl w:val="0"/>
          <w:numId w:val="8"/>
        </w:numPr>
      </w:pPr>
      <w:r>
        <w:rPr>
          <w:b/>
        </w:rPr>
        <w:t>Developing k</w:t>
      </w:r>
      <w:r w:rsidR="00433AC8">
        <w:rPr>
          <w:b/>
        </w:rPr>
        <w:t>ey publications</w:t>
      </w:r>
      <w:r w:rsidR="00A2227F">
        <w:rPr>
          <w:b/>
        </w:rPr>
        <w:t xml:space="preserve"> </w:t>
      </w:r>
      <w:r w:rsidR="0000227C">
        <w:t xml:space="preserve">– </w:t>
      </w:r>
      <w:r w:rsidR="00433AC8">
        <w:t>for communication of key messages to key stakeholders</w:t>
      </w:r>
      <w:r>
        <w:t>. Key publications include</w:t>
      </w:r>
      <w:r w:rsidR="00433AC8">
        <w:t xml:space="preserve"> the annual Collective Research and Innovation Outcomes report</w:t>
      </w:r>
      <w:r w:rsidR="00F42452">
        <w:t>,</w:t>
      </w:r>
      <w:r w:rsidR="00433AC8">
        <w:t xml:space="preserve">  associated </w:t>
      </w:r>
      <w:r w:rsidR="00C324C2">
        <w:t>‘</w:t>
      </w:r>
      <w:r w:rsidR="003D3560">
        <w:t>placema</w:t>
      </w:r>
      <w:r w:rsidR="00F42452">
        <w:t>t</w:t>
      </w:r>
      <w:r w:rsidR="00C324C2">
        <w:t>’</w:t>
      </w:r>
      <w:r w:rsidR="00433AC8">
        <w:t xml:space="preserve">, </w:t>
      </w:r>
      <w:r w:rsidR="00F42452">
        <w:t xml:space="preserve">RDCs resource pack, Case Study examples, which all work together to </w:t>
      </w:r>
      <w:r w:rsidR="00433AC8">
        <w:t xml:space="preserve">highlighting collective investment and impact. </w:t>
      </w:r>
    </w:p>
    <w:p w14:paraId="1B6360B1" w14:textId="2771228D" w:rsidR="0000227C" w:rsidRDefault="0000227C" w:rsidP="0000227C">
      <w:pPr>
        <w:pStyle w:val="ListParagraph"/>
        <w:numPr>
          <w:ilvl w:val="0"/>
          <w:numId w:val="8"/>
        </w:numPr>
      </w:pPr>
      <w:r w:rsidRPr="2E15E2A8">
        <w:rPr>
          <w:b/>
          <w:bCs/>
        </w:rPr>
        <w:t xml:space="preserve">Strategic </w:t>
      </w:r>
      <w:r w:rsidR="006F177C" w:rsidRPr="2E15E2A8">
        <w:rPr>
          <w:b/>
          <w:bCs/>
        </w:rPr>
        <w:t>m</w:t>
      </w:r>
      <w:r w:rsidRPr="2E15E2A8">
        <w:rPr>
          <w:b/>
          <w:bCs/>
        </w:rPr>
        <w:t xml:space="preserve">edia </w:t>
      </w:r>
      <w:r w:rsidR="006F177C" w:rsidRPr="2E15E2A8">
        <w:rPr>
          <w:b/>
          <w:bCs/>
        </w:rPr>
        <w:t>e</w:t>
      </w:r>
      <w:r w:rsidRPr="2E15E2A8">
        <w:rPr>
          <w:b/>
          <w:bCs/>
        </w:rPr>
        <w:t>ngagement</w:t>
      </w:r>
      <w:r>
        <w:t xml:space="preserve"> – </w:t>
      </w:r>
      <w:r w:rsidR="006F177C">
        <w:t>around key events and publications</w:t>
      </w:r>
      <w:r w:rsidR="003643E4">
        <w:t xml:space="preserve"> </w:t>
      </w:r>
      <w:r w:rsidR="00CE659D">
        <w:t xml:space="preserve">to enhance messaging and reinforce these to key stakeholders. </w:t>
      </w:r>
    </w:p>
    <w:p w14:paraId="3F590A54" w14:textId="77777777" w:rsidR="00FC23F1" w:rsidRDefault="00FC23F1" w:rsidP="00FC23F1"/>
    <w:p w14:paraId="2E13B3AC" w14:textId="77777777" w:rsidR="00802DB9" w:rsidRDefault="00802DB9" w:rsidP="00FC23F1"/>
    <w:p w14:paraId="758C1A58" w14:textId="1A55C99D" w:rsidR="00802DB9" w:rsidRDefault="006B4B34" w:rsidP="00802DB9">
      <w:pPr>
        <w:pStyle w:val="Heading2"/>
      </w:pPr>
      <w:r>
        <w:t>ACTIVITIES AND LEAD</w:t>
      </w:r>
    </w:p>
    <w:tbl>
      <w:tblPr>
        <w:tblStyle w:val="TableGrid"/>
        <w:tblW w:w="9493" w:type="dxa"/>
        <w:tblLook w:val="04A0" w:firstRow="1" w:lastRow="0" w:firstColumn="1" w:lastColumn="0" w:noHBand="0" w:noVBand="1"/>
      </w:tblPr>
      <w:tblGrid>
        <w:gridCol w:w="1935"/>
        <w:gridCol w:w="5573"/>
        <w:gridCol w:w="1985"/>
      </w:tblGrid>
      <w:tr w:rsidR="00427F22" w14:paraId="5990728B" w14:textId="3A46F7EF" w:rsidTr="00427F22">
        <w:trPr>
          <w:trHeight w:val="300"/>
        </w:trPr>
        <w:tc>
          <w:tcPr>
            <w:tcW w:w="1935" w:type="dxa"/>
          </w:tcPr>
          <w:p w14:paraId="5128F495" w14:textId="77777777" w:rsidR="00427F22" w:rsidRPr="00AD26C3" w:rsidRDefault="00427F22">
            <w:pPr>
              <w:rPr>
                <w:b/>
                <w:bCs/>
              </w:rPr>
            </w:pPr>
            <w:bookmarkStart w:id="0" w:name="_Hlk202360382"/>
            <w:r w:rsidRPr="00AD26C3">
              <w:rPr>
                <w:b/>
                <w:bCs/>
              </w:rPr>
              <w:t>Approach</w:t>
            </w:r>
          </w:p>
        </w:tc>
        <w:tc>
          <w:tcPr>
            <w:tcW w:w="5573" w:type="dxa"/>
          </w:tcPr>
          <w:p w14:paraId="2B3BEC0B" w14:textId="77777777" w:rsidR="00427F22" w:rsidRPr="00AD26C3" w:rsidRDefault="00427F22">
            <w:pPr>
              <w:rPr>
                <w:b/>
                <w:bCs/>
              </w:rPr>
            </w:pPr>
            <w:r w:rsidRPr="00AD26C3">
              <w:rPr>
                <w:b/>
                <w:bCs/>
              </w:rPr>
              <w:t>Activities</w:t>
            </w:r>
          </w:p>
        </w:tc>
        <w:tc>
          <w:tcPr>
            <w:tcW w:w="1985" w:type="dxa"/>
          </w:tcPr>
          <w:p w14:paraId="34DB3BC3" w14:textId="51BB8F6C" w:rsidR="00427F22" w:rsidRPr="00AD26C3" w:rsidRDefault="00427F22">
            <w:pPr>
              <w:rPr>
                <w:b/>
                <w:bCs/>
              </w:rPr>
            </w:pPr>
            <w:r w:rsidRPr="00AD26C3">
              <w:rPr>
                <w:b/>
                <w:bCs/>
              </w:rPr>
              <w:t>Responsibility</w:t>
            </w:r>
          </w:p>
        </w:tc>
      </w:tr>
      <w:tr w:rsidR="00427F22" w14:paraId="5EF4BFB3" w14:textId="77777777" w:rsidTr="00427F22">
        <w:trPr>
          <w:trHeight w:val="300"/>
        </w:trPr>
        <w:tc>
          <w:tcPr>
            <w:tcW w:w="1935" w:type="dxa"/>
          </w:tcPr>
          <w:p w14:paraId="20CFA246" w14:textId="0A7B7F91" w:rsidR="00427F22" w:rsidRDefault="00427F22">
            <w:pPr>
              <w:tabs>
                <w:tab w:val="left" w:pos="5840"/>
              </w:tabs>
            </w:pPr>
            <w:r>
              <w:t>Stakeholder feedback</w:t>
            </w:r>
          </w:p>
        </w:tc>
        <w:tc>
          <w:tcPr>
            <w:tcW w:w="5573" w:type="dxa"/>
          </w:tcPr>
          <w:p w14:paraId="58911ADD" w14:textId="77777777" w:rsidR="00427F22" w:rsidRDefault="00427F22">
            <w:r>
              <w:t>Understanding awareness and satisfaction of key stakeholders.</w:t>
            </w:r>
          </w:p>
        </w:tc>
        <w:tc>
          <w:tcPr>
            <w:tcW w:w="1985" w:type="dxa"/>
          </w:tcPr>
          <w:p w14:paraId="60717FBD" w14:textId="571B74AF" w:rsidR="00427F22" w:rsidRDefault="00427F22">
            <w:r>
              <w:t>Council secretariat</w:t>
            </w:r>
          </w:p>
        </w:tc>
      </w:tr>
      <w:tr w:rsidR="00427F22" w14:paraId="20D41FE6" w14:textId="41A173AA" w:rsidTr="00427F22">
        <w:trPr>
          <w:trHeight w:val="2992"/>
        </w:trPr>
        <w:tc>
          <w:tcPr>
            <w:tcW w:w="1935" w:type="dxa"/>
          </w:tcPr>
          <w:p w14:paraId="05513F38" w14:textId="77777777" w:rsidR="00427F22" w:rsidRDefault="00427F22">
            <w:pPr>
              <w:tabs>
                <w:tab w:val="left" w:pos="5840"/>
              </w:tabs>
            </w:pPr>
            <w:r>
              <w:t>Direct engagement</w:t>
            </w:r>
          </w:p>
          <w:p w14:paraId="18F30011" w14:textId="77777777" w:rsidR="00427F22" w:rsidRDefault="00427F22">
            <w:pPr>
              <w:tabs>
                <w:tab w:val="left" w:pos="5840"/>
              </w:tabs>
            </w:pPr>
          </w:p>
        </w:tc>
        <w:tc>
          <w:tcPr>
            <w:tcW w:w="5573" w:type="dxa"/>
          </w:tcPr>
          <w:p w14:paraId="78A5E627" w14:textId="379B7306" w:rsidR="00427F22" w:rsidRDefault="00427F22" w:rsidP="00C34099">
            <w:pPr>
              <w:pStyle w:val="ListParagraph"/>
              <w:numPr>
                <w:ilvl w:val="0"/>
                <w:numId w:val="21"/>
              </w:numPr>
              <w:ind w:left="242" w:hanging="242"/>
            </w:pPr>
            <w:r>
              <w:t>Collective targeted letters to Ministers, Shadow Ministers, and Departmental Secretaries following the Federal Election in May 2025. A standard paragraph re the RDCs and our collective impact to be provided to all RDCs for inclusion in their own letters post-election.</w:t>
            </w:r>
          </w:p>
          <w:p w14:paraId="3D5652E9" w14:textId="33B11CC3" w:rsidR="00427F22" w:rsidRPr="00A643B9" w:rsidRDefault="00427F22" w:rsidP="00A643B9">
            <w:pPr>
              <w:pStyle w:val="ListParagraph"/>
              <w:numPr>
                <w:ilvl w:val="0"/>
                <w:numId w:val="21"/>
              </w:numPr>
              <w:ind w:left="242" w:hanging="242"/>
            </w:pPr>
            <w:r>
              <w:t>Key briefing meetings with all stakeholders (potentially including backbenchers)</w:t>
            </w:r>
          </w:p>
        </w:tc>
        <w:tc>
          <w:tcPr>
            <w:tcW w:w="1985" w:type="dxa"/>
          </w:tcPr>
          <w:p w14:paraId="1E4B6F79" w14:textId="3CD7632D" w:rsidR="00427F22" w:rsidRDefault="00427F22" w:rsidP="007430D9">
            <w:r>
              <w:t>Council secretariat</w:t>
            </w:r>
          </w:p>
          <w:p w14:paraId="53B480A7" w14:textId="77777777" w:rsidR="00427F22" w:rsidRDefault="00427F22" w:rsidP="007430D9"/>
          <w:p w14:paraId="51B96E47" w14:textId="7664E37A" w:rsidR="00427F22" w:rsidRDefault="00427F22" w:rsidP="007430D9">
            <w:r>
              <w:t>Chair of Chairs</w:t>
            </w:r>
          </w:p>
          <w:p w14:paraId="489071CA" w14:textId="77777777" w:rsidR="00427F22" w:rsidRDefault="00427F22" w:rsidP="007430D9"/>
          <w:p w14:paraId="33B77A1B" w14:textId="5C22C410" w:rsidR="00427F22" w:rsidRPr="004B2FAC" w:rsidRDefault="00427F22" w:rsidP="004B2FAC">
            <w:r>
              <w:t>Executive Committee</w:t>
            </w:r>
          </w:p>
        </w:tc>
      </w:tr>
      <w:tr w:rsidR="00427F22" w14:paraId="0495D063" w14:textId="6658CAF7" w:rsidTr="00427F22">
        <w:trPr>
          <w:trHeight w:val="300"/>
        </w:trPr>
        <w:tc>
          <w:tcPr>
            <w:tcW w:w="1935" w:type="dxa"/>
          </w:tcPr>
          <w:p w14:paraId="7F32ACDE" w14:textId="77777777" w:rsidR="00427F22" w:rsidRDefault="00427F22">
            <w:pPr>
              <w:tabs>
                <w:tab w:val="left" w:pos="5840"/>
              </w:tabs>
            </w:pPr>
            <w:r>
              <w:t>Leveraging key events</w:t>
            </w:r>
          </w:p>
          <w:p w14:paraId="561EB190" w14:textId="77777777" w:rsidR="00427F22" w:rsidRDefault="00427F22">
            <w:pPr>
              <w:tabs>
                <w:tab w:val="left" w:pos="5840"/>
              </w:tabs>
            </w:pPr>
          </w:p>
        </w:tc>
        <w:tc>
          <w:tcPr>
            <w:tcW w:w="5573" w:type="dxa"/>
          </w:tcPr>
          <w:p w14:paraId="545CCCAB" w14:textId="489E8142" w:rsidR="00427F22" w:rsidRPr="002D21CB" w:rsidRDefault="00427F22" w:rsidP="002D21CB">
            <w:pPr>
              <w:pStyle w:val="ListParagraph"/>
              <w:numPr>
                <w:ilvl w:val="0"/>
                <w:numId w:val="23"/>
              </w:numPr>
              <w:ind w:left="216" w:hanging="216"/>
            </w:pPr>
            <w:r>
              <w:t>evokeAG (annual, Feb, location varies)</w:t>
            </w:r>
          </w:p>
          <w:p w14:paraId="03E7ECB4" w14:textId="03D1A4DC" w:rsidR="00427F22" w:rsidRDefault="00427F22" w:rsidP="007430D9">
            <w:pPr>
              <w:pStyle w:val="ListParagraph"/>
              <w:numPr>
                <w:ilvl w:val="0"/>
                <w:numId w:val="23"/>
              </w:numPr>
              <w:ind w:left="242" w:hanging="242"/>
            </w:pPr>
            <w:r>
              <w:t>ABARES Outlook (annual, March, Canberra)</w:t>
            </w:r>
          </w:p>
          <w:p w14:paraId="4B905E90" w14:textId="02D9D77B" w:rsidR="00427F22" w:rsidRDefault="00427F22" w:rsidP="007430D9">
            <w:pPr>
              <w:pStyle w:val="ListParagraph"/>
              <w:numPr>
                <w:ilvl w:val="0"/>
                <w:numId w:val="23"/>
              </w:numPr>
              <w:ind w:left="242" w:hanging="242"/>
            </w:pPr>
            <w:r>
              <w:t xml:space="preserve">RDC impact showcase (biennial, June, Canberra) </w:t>
            </w:r>
          </w:p>
          <w:p w14:paraId="1CEC4036" w14:textId="647DD552" w:rsidR="00427F22" w:rsidRDefault="00427F22" w:rsidP="007430D9">
            <w:pPr>
              <w:pStyle w:val="ListParagraph"/>
              <w:numPr>
                <w:ilvl w:val="0"/>
                <w:numId w:val="23"/>
              </w:numPr>
              <w:ind w:left="242" w:hanging="242"/>
            </w:pPr>
            <w:r>
              <w:t>Science meets Parliament (annual, Feb, Canberra)</w:t>
            </w:r>
          </w:p>
          <w:p w14:paraId="0879DD31" w14:textId="77777777" w:rsidR="00427F22" w:rsidRDefault="00427F22" w:rsidP="007430D9">
            <w:pPr>
              <w:pStyle w:val="ListParagraph"/>
              <w:numPr>
                <w:ilvl w:val="0"/>
                <w:numId w:val="23"/>
              </w:numPr>
              <w:ind w:left="242" w:hanging="242"/>
            </w:pPr>
            <w:r>
              <w:t>Collateral to be developed for utilisation across all events.</w:t>
            </w:r>
          </w:p>
          <w:p w14:paraId="204D9BB9" w14:textId="2D1C8336" w:rsidR="00427F22" w:rsidRDefault="00427F22" w:rsidP="007430D9">
            <w:pPr>
              <w:pStyle w:val="ListParagraph"/>
              <w:numPr>
                <w:ilvl w:val="0"/>
                <w:numId w:val="23"/>
              </w:numPr>
              <w:ind w:left="242" w:hanging="242"/>
            </w:pPr>
            <w:r>
              <w:t xml:space="preserve">National Ag Day </w:t>
            </w:r>
          </w:p>
          <w:p w14:paraId="728ED752" w14:textId="4BE81EF0" w:rsidR="00427F22" w:rsidRDefault="00427F22" w:rsidP="007430D9">
            <w:pPr>
              <w:pStyle w:val="ListParagraph"/>
              <w:numPr>
                <w:ilvl w:val="0"/>
                <w:numId w:val="23"/>
              </w:numPr>
              <w:ind w:left="242" w:hanging="242"/>
            </w:pPr>
            <w:r>
              <w:t>NFF Conference</w:t>
            </w:r>
          </w:p>
        </w:tc>
        <w:tc>
          <w:tcPr>
            <w:tcW w:w="1985" w:type="dxa"/>
          </w:tcPr>
          <w:p w14:paraId="3ABB335F" w14:textId="2E151D3B" w:rsidR="00427F22" w:rsidRDefault="00427F22" w:rsidP="007430D9">
            <w:r>
              <w:t>Comms GMs to lead</w:t>
            </w:r>
          </w:p>
          <w:p w14:paraId="10CB71A9" w14:textId="77777777" w:rsidR="00427F22" w:rsidRDefault="00427F22" w:rsidP="007430D9"/>
          <w:p w14:paraId="4C8FB4C1" w14:textId="703D6571" w:rsidR="00427F22" w:rsidRDefault="00427F22" w:rsidP="007430D9">
            <w:r>
              <w:t>Council secretariat coords joint contractual and investment arrangements</w:t>
            </w:r>
          </w:p>
          <w:p w14:paraId="6CE76836" w14:textId="0933FC5A" w:rsidR="00427F22" w:rsidRPr="000929E7" w:rsidRDefault="00427F22" w:rsidP="0005477E">
            <w:pPr>
              <w:pStyle w:val="ListParagraph"/>
              <w:ind w:left="265"/>
            </w:pPr>
            <w:r w:rsidRPr="000929E7">
              <w:t xml:space="preserve"> </w:t>
            </w:r>
          </w:p>
        </w:tc>
      </w:tr>
      <w:tr w:rsidR="00427F22" w14:paraId="008F2348" w14:textId="372E7721" w:rsidTr="00427F22">
        <w:trPr>
          <w:trHeight w:val="300"/>
        </w:trPr>
        <w:tc>
          <w:tcPr>
            <w:tcW w:w="1935" w:type="dxa"/>
          </w:tcPr>
          <w:p w14:paraId="70C6FD26" w14:textId="656BD026" w:rsidR="00427F22" w:rsidRDefault="00427F22">
            <w:pPr>
              <w:tabs>
                <w:tab w:val="left" w:pos="5840"/>
              </w:tabs>
            </w:pPr>
            <w:r>
              <w:t>RDC Champions</w:t>
            </w:r>
          </w:p>
          <w:p w14:paraId="1CEA8AD4" w14:textId="77777777" w:rsidR="00427F22" w:rsidRDefault="00427F22">
            <w:pPr>
              <w:tabs>
                <w:tab w:val="left" w:pos="5840"/>
              </w:tabs>
            </w:pPr>
          </w:p>
        </w:tc>
        <w:tc>
          <w:tcPr>
            <w:tcW w:w="5573" w:type="dxa"/>
          </w:tcPr>
          <w:p w14:paraId="7393E049" w14:textId="15BF315B" w:rsidR="00427F22" w:rsidRDefault="00427F22">
            <w:r>
              <w:t>Identify and brief champions</w:t>
            </w:r>
          </w:p>
          <w:p w14:paraId="6CDCA055" w14:textId="25ECF1E0" w:rsidR="00427F22" w:rsidRDefault="00427F22" w:rsidP="6B5EF5FB">
            <w:r>
              <w:t xml:space="preserve"> </w:t>
            </w:r>
          </w:p>
        </w:tc>
        <w:tc>
          <w:tcPr>
            <w:tcW w:w="1985" w:type="dxa"/>
          </w:tcPr>
          <w:p w14:paraId="33C36E10" w14:textId="22C7668F" w:rsidR="00427F22" w:rsidRDefault="00427F22">
            <w:r>
              <w:t>Each RDC to support their Champions</w:t>
            </w:r>
          </w:p>
          <w:p w14:paraId="66FFDB5B" w14:textId="7845036F" w:rsidR="00427F22" w:rsidRDefault="00427F22"/>
        </w:tc>
      </w:tr>
      <w:tr w:rsidR="00427F22" w14:paraId="7F07395D" w14:textId="08150110" w:rsidTr="00427F22">
        <w:trPr>
          <w:trHeight w:val="300"/>
        </w:trPr>
        <w:tc>
          <w:tcPr>
            <w:tcW w:w="1935" w:type="dxa"/>
          </w:tcPr>
          <w:p w14:paraId="2658C05A" w14:textId="77777777" w:rsidR="00427F22" w:rsidRDefault="00427F22">
            <w:pPr>
              <w:tabs>
                <w:tab w:val="left" w:pos="5840"/>
              </w:tabs>
            </w:pPr>
            <w:r>
              <w:t>Developing key publications</w:t>
            </w:r>
          </w:p>
          <w:p w14:paraId="35D7F1DC" w14:textId="77777777" w:rsidR="00427F22" w:rsidRDefault="00427F22">
            <w:pPr>
              <w:tabs>
                <w:tab w:val="left" w:pos="5840"/>
              </w:tabs>
            </w:pPr>
          </w:p>
        </w:tc>
        <w:tc>
          <w:tcPr>
            <w:tcW w:w="5573" w:type="dxa"/>
          </w:tcPr>
          <w:p w14:paraId="0817B304" w14:textId="77777777" w:rsidR="00427F22" w:rsidRDefault="00427F22" w:rsidP="00525B89">
            <w:pPr>
              <w:pStyle w:val="ListParagraph"/>
              <w:numPr>
                <w:ilvl w:val="0"/>
                <w:numId w:val="22"/>
              </w:numPr>
              <w:ind w:left="245" w:hanging="245"/>
            </w:pPr>
            <w:r w:rsidRPr="00055285">
              <w:t>Collective Research and Innovation Outcomes report and associated snapshot</w:t>
            </w:r>
          </w:p>
          <w:p w14:paraId="46B4E9FF" w14:textId="056C6454" w:rsidR="00427F22" w:rsidRPr="00055285" w:rsidRDefault="00427F22" w:rsidP="00525B89">
            <w:pPr>
              <w:pStyle w:val="ListParagraph"/>
              <w:numPr>
                <w:ilvl w:val="0"/>
                <w:numId w:val="22"/>
              </w:numPr>
              <w:ind w:left="242" w:hanging="242"/>
            </w:pPr>
            <w:r w:rsidRPr="00055285">
              <w:t>Overview of RDC investment placemat</w:t>
            </w:r>
          </w:p>
        </w:tc>
        <w:tc>
          <w:tcPr>
            <w:tcW w:w="1985" w:type="dxa"/>
          </w:tcPr>
          <w:p w14:paraId="609B3504" w14:textId="4D652A17" w:rsidR="00427F22" w:rsidRPr="0005477E" w:rsidRDefault="00427F22" w:rsidP="0005477E">
            <w:r w:rsidRPr="0005477E">
              <w:t xml:space="preserve">Comms GMs </w:t>
            </w:r>
            <w:r>
              <w:t>oversight</w:t>
            </w:r>
          </w:p>
          <w:p w14:paraId="3D4DD171" w14:textId="77777777" w:rsidR="00427F22" w:rsidRPr="0005477E" w:rsidRDefault="00427F22" w:rsidP="0005477E"/>
          <w:p w14:paraId="6D68A09C" w14:textId="62DB470B" w:rsidR="00427F22" w:rsidRPr="0005477E" w:rsidRDefault="00427F22" w:rsidP="0005477E">
            <w:r w:rsidRPr="0005477E">
              <w:t xml:space="preserve">Council secretariat </w:t>
            </w:r>
            <w:r>
              <w:t>contracts and oversees provider</w:t>
            </w:r>
          </w:p>
          <w:p w14:paraId="2581C8F6" w14:textId="081F4875" w:rsidR="00427F22" w:rsidRPr="0005477E" w:rsidRDefault="00427F22" w:rsidP="0005477E">
            <w:r w:rsidRPr="0005477E">
              <w:t xml:space="preserve"> </w:t>
            </w:r>
          </w:p>
        </w:tc>
      </w:tr>
      <w:tr w:rsidR="00427F22" w14:paraId="7167E0C1" w14:textId="77777777" w:rsidTr="00427F22">
        <w:trPr>
          <w:trHeight w:val="300"/>
        </w:trPr>
        <w:tc>
          <w:tcPr>
            <w:tcW w:w="1935" w:type="dxa"/>
          </w:tcPr>
          <w:p w14:paraId="5FE7844D" w14:textId="77777777" w:rsidR="00427F22" w:rsidRDefault="00427F22" w:rsidP="00967F1F">
            <w:r>
              <w:t xml:space="preserve">Supporting individual RDCS to promote joint RDC message </w:t>
            </w:r>
          </w:p>
        </w:tc>
        <w:tc>
          <w:tcPr>
            <w:tcW w:w="5573" w:type="dxa"/>
          </w:tcPr>
          <w:p w14:paraId="4FCB7961" w14:textId="77777777" w:rsidR="00427F22" w:rsidRDefault="00427F22" w:rsidP="00967F1F">
            <w:r>
              <w:t>Provide resource pack which includes consistent key messages from comms strategy + placemap publication (see below) + collective impact report</w:t>
            </w:r>
          </w:p>
        </w:tc>
        <w:tc>
          <w:tcPr>
            <w:tcW w:w="1985" w:type="dxa"/>
          </w:tcPr>
          <w:p w14:paraId="2BBA5E34" w14:textId="77777777" w:rsidR="00427F22" w:rsidRPr="0005477E" w:rsidRDefault="00427F22" w:rsidP="00967F1F">
            <w:r w:rsidRPr="0005477E">
              <w:t xml:space="preserve">Comms GMs  </w:t>
            </w:r>
            <w:r>
              <w:t>oversight</w:t>
            </w:r>
          </w:p>
          <w:p w14:paraId="27BCCD81" w14:textId="77777777" w:rsidR="00427F22" w:rsidRPr="0005477E" w:rsidRDefault="00427F22" w:rsidP="00967F1F"/>
          <w:p w14:paraId="112494D3" w14:textId="77777777" w:rsidR="00427F22" w:rsidRPr="0005477E" w:rsidRDefault="00427F22" w:rsidP="00967F1F">
            <w:r w:rsidRPr="0005477E">
              <w:t xml:space="preserve">Council secretariat </w:t>
            </w:r>
            <w:r>
              <w:t xml:space="preserve">contracts and oversees provider </w:t>
            </w:r>
          </w:p>
          <w:p w14:paraId="436E16A7" w14:textId="77777777" w:rsidR="00427F22" w:rsidRDefault="00427F22" w:rsidP="00967F1F">
            <w:pPr>
              <w:rPr>
                <w:highlight w:val="yellow"/>
              </w:rPr>
            </w:pPr>
          </w:p>
        </w:tc>
      </w:tr>
      <w:tr w:rsidR="00427F22" w14:paraId="3DB25986" w14:textId="6D88CEEF" w:rsidTr="00427F22">
        <w:trPr>
          <w:trHeight w:val="300"/>
        </w:trPr>
        <w:tc>
          <w:tcPr>
            <w:tcW w:w="1935" w:type="dxa"/>
          </w:tcPr>
          <w:p w14:paraId="0C8C8BC8" w14:textId="77777777" w:rsidR="00427F22" w:rsidRDefault="00427F22">
            <w:pPr>
              <w:tabs>
                <w:tab w:val="left" w:pos="5840"/>
              </w:tabs>
            </w:pPr>
            <w:r>
              <w:t>Strategic media engagement</w:t>
            </w:r>
          </w:p>
        </w:tc>
        <w:tc>
          <w:tcPr>
            <w:tcW w:w="5573" w:type="dxa"/>
          </w:tcPr>
          <w:p w14:paraId="1797B1C1" w14:textId="77777777" w:rsidR="00427F22" w:rsidRDefault="00427F22">
            <w:r>
              <w:t>Related to events and publications</w:t>
            </w:r>
          </w:p>
          <w:p w14:paraId="114C4DED" w14:textId="77777777" w:rsidR="00427F22" w:rsidRDefault="00427F22"/>
          <w:p w14:paraId="03CFD179" w14:textId="77777777" w:rsidR="00427F22" w:rsidRDefault="00427F22"/>
          <w:p w14:paraId="06DB291D" w14:textId="4C5B8048" w:rsidR="00427F22" w:rsidRDefault="00427F22">
            <w:r>
              <w:t>Establish Council RDC LinkedIn profile</w:t>
            </w:r>
          </w:p>
        </w:tc>
        <w:tc>
          <w:tcPr>
            <w:tcW w:w="1985" w:type="dxa"/>
          </w:tcPr>
          <w:p w14:paraId="51C219D4" w14:textId="77777777" w:rsidR="00427F22" w:rsidRPr="0005477E" w:rsidRDefault="00427F22" w:rsidP="0005477E">
            <w:r w:rsidRPr="0005477E">
              <w:t xml:space="preserve">Comms GMs </w:t>
            </w:r>
            <w:r>
              <w:t>oversight</w:t>
            </w:r>
          </w:p>
          <w:p w14:paraId="1E65B43B" w14:textId="77777777" w:rsidR="00427F22" w:rsidRPr="0005477E" w:rsidRDefault="00427F22" w:rsidP="0005477E"/>
          <w:p w14:paraId="3EC00996" w14:textId="056DDD9B" w:rsidR="00427F22" w:rsidRPr="0005477E" w:rsidRDefault="00427F22" w:rsidP="0005477E">
            <w:r w:rsidRPr="0005477E">
              <w:t xml:space="preserve">Council secretariat </w:t>
            </w:r>
            <w:r>
              <w:t xml:space="preserve">contracts and oversees provider </w:t>
            </w:r>
          </w:p>
          <w:p w14:paraId="20C4EC84" w14:textId="40BDF08D" w:rsidR="00427F22" w:rsidRPr="00C4138F" w:rsidRDefault="00427F22" w:rsidP="0005477E">
            <w:pPr>
              <w:pStyle w:val="ListParagraph"/>
              <w:ind w:left="237"/>
            </w:pPr>
          </w:p>
        </w:tc>
      </w:tr>
    </w:tbl>
    <w:p w14:paraId="2AEE5419" w14:textId="77777777" w:rsidR="0000227C" w:rsidRDefault="0000227C"/>
    <w:bookmarkEnd w:id="0"/>
    <w:p w14:paraId="479274D3" w14:textId="4E1E56E5" w:rsidR="00844401" w:rsidRDefault="00347C99" w:rsidP="00C34116">
      <w:pPr>
        <w:pStyle w:val="Heading2"/>
      </w:pPr>
      <w:r>
        <w:t>MEASUREMENT AND REPORTING</w:t>
      </w:r>
    </w:p>
    <w:p w14:paraId="58B8C675" w14:textId="160E7B16" w:rsidR="00F622B0" w:rsidRDefault="5A61C94F" w:rsidP="256F756C">
      <w:r>
        <w:t xml:space="preserve">TBC </w:t>
      </w:r>
    </w:p>
    <w:p w14:paraId="51CA11D8" w14:textId="6EC6B91F" w:rsidR="004F209D" w:rsidRDefault="004F209D" w:rsidP="00F622B0">
      <w:pPr>
        <w:pStyle w:val="Heading2"/>
      </w:pPr>
      <w:r>
        <w:t>PLAN ON A PAGE</w:t>
      </w:r>
    </w:p>
    <w:tbl>
      <w:tblPr>
        <w:tblStyle w:val="TableGrid"/>
        <w:tblW w:w="0" w:type="auto"/>
        <w:tblLook w:val="04A0" w:firstRow="1" w:lastRow="0" w:firstColumn="1" w:lastColumn="0" w:noHBand="0" w:noVBand="1"/>
      </w:tblPr>
      <w:tblGrid>
        <w:gridCol w:w="1758"/>
        <w:gridCol w:w="2373"/>
        <w:gridCol w:w="2243"/>
        <w:gridCol w:w="1044"/>
        <w:gridCol w:w="1598"/>
      </w:tblGrid>
      <w:tr w:rsidR="001A44B9" w14:paraId="0A962A62" w14:textId="77777777" w:rsidTr="00354CDB">
        <w:tc>
          <w:tcPr>
            <w:tcW w:w="1758" w:type="dxa"/>
            <w:tcBorders>
              <w:bottom w:val="single" w:sz="4" w:space="0" w:color="auto"/>
              <w:right w:val="single" w:sz="4" w:space="0" w:color="auto"/>
            </w:tcBorders>
            <w:shd w:val="clear" w:color="auto" w:fill="A02B93" w:themeFill="accent5"/>
            <w:vAlign w:val="center"/>
          </w:tcPr>
          <w:p w14:paraId="7E7DB6C8" w14:textId="291AAF9F" w:rsidR="00C34116" w:rsidRPr="00354CDB" w:rsidRDefault="00C34116" w:rsidP="00354CDB">
            <w:pPr>
              <w:jc w:val="center"/>
              <w:rPr>
                <w:b/>
                <w:bCs/>
                <w:color w:val="FFFFFF" w:themeColor="background1"/>
              </w:rPr>
            </w:pPr>
            <w:r w:rsidRPr="00354CDB">
              <w:rPr>
                <w:b/>
                <w:bCs/>
                <w:color w:val="FFFFFF" w:themeColor="background1"/>
              </w:rPr>
              <w:t>Strategic intent</w:t>
            </w:r>
          </w:p>
        </w:tc>
        <w:tc>
          <w:tcPr>
            <w:tcW w:w="7258" w:type="dxa"/>
            <w:gridSpan w:val="4"/>
            <w:tcBorders>
              <w:left w:val="single" w:sz="4" w:space="0" w:color="auto"/>
              <w:bottom w:val="single" w:sz="4" w:space="0" w:color="auto"/>
            </w:tcBorders>
          </w:tcPr>
          <w:p w14:paraId="0DE0F7FC" w14:textId="7FD0282C" w:rsidR="00C34116" w:rsidRDefault="00C34116" w:rsidP="001A44B9">
            <w:pPr>
              <w:jc w:val="center"/>
            </w:pPr>
            <w:r>
              <w:t>To provide a collaborative approach for 15 distinct RDCs to achieve the mutual goal of building trust in and support for the RDC model, and ensure ongoing commitment for continued investment in the RDCs.</w:t>
            </w:r>
          </w:p>
        </w:tc>
      </w:tr>
      <w:tr w:rsidR="00C706F0" w14:paraId="77FC3B13" w14:textId="77777777" w:rsidTr="00354CDB">
        <w:tc>
          <w:tcPr>
            <w:tcW w:w="9016" w:type="dxa"/>
            <w:gridSpan w:val="5"/>
            <w:tcBorders>
              <w:top w:val="single" w:sz="4" w:space="0" w:color="auto"/>
              <w:left w:val="nil"/>
              <w:bottom w:val="single" w:sz="4" w:space="0" w:color="auto"/>
              <w:right w:val="nil"/>
            </w:tcBorders>
            <w:vAlign w:val="center"/>
          </w:tcPr>
          <w:p w14:paraId="247A041B" w14:textId="77777777" w:rsidR="00C706F0" w:rsidRPr="00354CDB" w:rsidRDefault="00C706F0" w:rsidP="00354CDB">
            <w:pPr>
              <w:tabs>
                <w:tab w:val="left" w:pos="5840"/>
              </w:tabs>
              <w:jc w:val="center"/>
              <w:rPr>
                <w:color w:val="FFFFFF" w:themeColor="background1"/>
              </w:rPr>
            </w:pPr>
          </w:p>
        </w:tc>
      </w:tr>
      <w:tr w:rsidR="00C706F0" w14:paraId="1E7A6A71" w14:textId="77777777" w:rsidTr="00354CDB">
        <w:tc>
          <w:tcPr>
            <w:tcW w:w="1758" w:type="dxa"/>
            <w:tcBorders>
              <w:top w:val="single" w:sz="4" w:space="0" w:color="auto"/>
              <w:bottom w:val="single" w:sz="4" w:space="0" w:color="auto"/>
            </w:tcBorders>
            <w:shd w:val="clear" w:color="auto" w:fill="A02B93" w:themeFill="accent5"/>
            <w:vAlign w:val="center"/>
          </w:tcPr>
          <w:p w14:paraId="22733BBE" w14:textId="7867451E" w:rsidR="00C706F0" w:rsidRPr="00354CDB" w:rsidRDefault="00C706F0" w:rsidP="00354CDB">
            <w:pPr>
              <w:tabs>
                <w:tab w:val="left" w:pos="5840"/>
              </w:tabs>
              <w:jc w:val="center"/>
              <w:rPr>
                <w:b/>
                <w:bCs/>
                <w:color w:val="FFFFFF" w:themeColor="background1"/>
              </w:rPr>
            </w:pPr>
            <w:r w:rsidRPr="00354CDB">
              <w:rPr>
                <w:b/>
                <w:bCs/>
                <w:color w:val="FFFFFF" w:themeColor="background1"/>
              </w:rPr>
              <w:t>Stakeholders</w:t>
            </w:r>
          </w:p>
        </w:tc>
        <w:tc>
          <w:tcPr>
            <w:tcW w:w="2373" w:type="dxa"/>
            <w:tcBorders>
              <w:top w:val="single" w:sz="4" w:space="0" w:color="auto"/>
              <w:bottom w:val="single" w:sz="4" w:space="0" w:color="auto"/>
            </w:tcBorders>
          </w:tcPr>
          <w:p w14:paraId="39C7BAD2" w14:textId="7FB1A620" w:rsidR="00C706F0" w:rsidRDefault="00C706F0" w:rsidP="001A44B9">
            <w:pPr>
              <w:tabs>
                <w:tab w:val="left" w:pos="5840"/>
              </w:tabs>
              <w:jc w:val="center"/>
            </w:pPr>
            <w:r>
              <w:t>Government</w:t>
            </w:r>
          </w:p>
        </w:tc>
        <w:tc>
          <w:tcPr>
            <w:tcW w:w="2243" w:type="dxa"/>
            <w:tcBorders>
              <w:top w:val="single" w:sz="4" w:space="0" w:color="auto"/>
              <w:bottom w:val="single" w:sz="4" w:space="0" w:color="auto"/>
            </w:tcBorders>
          </w:tcPr>
          <w:p w14:paraId="3E56D91D" w14:textId="26F385AD" w:rsidR="00C706F0" w:rsidRDefault="00C706F0" w:rsidP="001A44B9">
            <w:pPr>
              <w:tabs>
                <w:tab w:val="left" w:pos="5840"/>
              </w:tabs>
              <w:jc w:val="center"/>
            </w:pPr>
            <w:r>
              <w:t>Industry</w:t>
            </w:r>
          </w:p>
        </w:tc>
        <w:tc>
          <w:tcPr>
            <w:tcW w:w="2642" w:type="dxa"/>
            <w:gridSpan w:val="2"/>
            <w:tcBorders>
              <w:top w:val="single" w:sz="4" w:space="0" w:color="auto"/>
              <w:bottom w:val="single" w:sz="4" w:space="0" w:color="auto"/>
            </w:tcBorders>
          </w:tcPr>
          <w:p w14:paraId="75AA39DB" w14:textId="51C09DFB" w:rsidR="00C706F0" w:rsidRDefault="00C706F0" w:rsidP="001A44B9">
            <w:pPr>
              <w:tabs>
                <w:tab w:val="left" w:pos="5840"/>
              </w:tabs>
              <w:jc w:val="center"/>
            </w:pPr>
            <w:r>
              <w:t>Media</w:t>
            </w:r>
          </w:p>
        </w:tc>
      </w:tr>
      <w:tr w:rsidR="00C706F0" w14:paraId="265A29D0" w14:textId="77777777" w:rsidTr="00354CDB">
        <w:tc>
          <w:tcPr>
            <w:tcW w:w="9016" w:type="dxa"/>
            <w:gridSpan w:val="5"/>
            <w:tcBorders>
              <w:top w:val="single" w:sz="4" w:space="0" w:color="auto"/>
              <w:left w:val="nil"/>
              <w:bottom w:val="single" w:sz="4" w:space="0" w:color="auto"/>
              <w:right w:val="nil"/>
            </w:tcBorders>
            <w:vAlign w:val="center"/>
          </w:tcPr>
          <w:p w14:paraId="4AEDF844" w14:textId="77777777" w:rsidR="00C706F0" w:rsidRPr="00354CDB" w:rsidRDefault="00C706F0" w:rsidP="00354CDB">
            <w:pPr>
              <w:tabs>
                <w:tab w:val="left" w:pos="5840"/>
              </w:tabs>
              <w:jc w:val="center"/>
              <w:rPr>
                <w:b/>
                <w:bCs/>
                <w:color w:val="FFFFFF" w:themeColor="background1"/>
              </w:rPr>
            </w:pPr>
          </w:p>
        </w:tc>
      </w:tr>
      <w:tr w:rsidR="00256700" w14:paraId="7FC526CC" w14:textId="77777777" w:rsidTr="00354CDB">
        <w:trPr>
          <w:trHeight w:val="468"/>
        </w:trPr>
        <w:tc>
          <w:tcPr>
            <w:tcW w:w="1758" w:type="dxa"/>
            <w:vMerge w:val="restart"/>
            <w:tcBorders>
              <w:top w:val="single" w:sz="4" w:space="0" w:color="auto"/>
            </w:tcBorders>
            <w:shd w:val="clear" w:color="auto" w:fill="A02B93" w:themeFill="accent5"/>
            <w:vAlign w:val="center"/>
          </w:tcPr>
          <w:p w14:paraId="6C02D39F" w14:textId="2DD88FE5" w:rsidR="00256700" w:rsidRPr="00354CDB" w:rsidRDefault="00256700" w:rsidP="00354CDB">
            <w:pPr>
              <w:tabs>
                <w:tab w:val="left" w:pos="5840"/>
              </w:tabs>
              <w:jc w:val="center"/>
              <w:rPr>
                <w:b/>
                <w:bCs/>
                <w:color w:val="FFFFFF" w:themeColor="background1"/>
              </w:rPr>
            </w:pPr>
            <w:r w:rsidRPr="00354CDB">
              <w:rPr>
                <w:b/>
                <w:bCs/>
                <w:color w:val="FFFFFF" w:themeColor="background1"/>
              </w:rPr>
              <w:t>Objectives</w:t>
            </w:r>
          </w:p>
        </w:tc>
        <w:tc>
          <w:tcPr>
            <w:tcW w:w="7258" w:type="dxa"/>
            <w:gridSpan w:val="4"/>
            <w:tcBorders>
              <w:top w:val="single" w:sz="4" w:space="0" w:color="auto"/>
            </w:tcBorders>
          </w:tcPr>
          <w:p w14:paraId="44655D9D" w14:textId="6731DFE3" w:rsidR="00256700" w:rsidRDefault="00256700" w:rsidP="001A44B9">
            <w:pPr>
              <w:jc w:val="center"/>
            </w:pPr>
            <w:r>
              <w:t>Overarching: to ensure ongoing support for the RDC model from key decision makers.</w:t>
            </w:r>
          </w:p>
        </w:tc>
      </w:tr>
      <w:tr w:rsidR="001A44B9" w14:paraId="652C9870" w14:textId="77777777" w:rsidTr="00354CDB">
        <w:tc>
          <w:tcPr>
            <w:tcW w:w="1758" w:type="dxa"/>
            <w:vMerge/>
            <w:tcBorders>
              <w:bottom w:val="single" w:sz="4" w:space="0" w:color="auto"/>
            </w:tcBorders>
            <w:shd w:val="clear" w:color="auto" w:fill="A02B93" w:themeFill="accent5"/>
            <w:vAlign w:val="center"/>
          </w:tcPr>
          <w:p w14:paraId="06F553D8" w14:textId="77777777" w:rsidR="001A44B9" w:rsidRPr="00354CDB" w:rsidRDefault="001A44B9" w:rsidP="00354CDB">
            <w:pPr>
              <w:tabs>
                <w:tab w:val="left" w:pos="5840"/>
              </w:tabs>
              <w:jc w:val="center"/>
              <w:rPr>
                <w:color w:val="FFFFFF" w:themeColor="background1"/>
              </w:rPr>
            </w:pPr>
          </w:p>
        </w:tc>
        <w:tc>
          <w:tcPr>
            <w:tcW w:w="2373" w:type="dxa"/>
            <w:tcBorders>
              <w:bottom w:val="single" w:sz="4" w:space="0" w:color="auto"/>
            </w:tcBorders>
          </w:tcPr>
          <w:p w14:paraId="0C9E41B7" w14:textId="178B31CB" w:rsidR="001A44B9" w:rsidRPr="00CE20EC" w:rsidRDefault="001A44B9" w:rsidP="001A44B9">
            <w:pPr>
              <w:jc w:val="center"/>
            </w:pPr>
            <w:r w:rsidRPr="00CE20EC">
              <w:t>Objective one: Building awareness of and trust</w:t>
            </w:r>
          </w:p>
        </w:tc>
        <w:tc>
          <w:tcPr>
            <w:tcW w:w="2243" w:type="dxa"/>
            <w:tcBorders>
              <w:bottom w:val="single" w:sz="4" w:space="0" w:color="auto"/>
            </w:tcBorders>
          </w:tcPr>
          <w:p w14:paraId="2E4BBE75" w14:textId="4ED67AE5" w:rsidR="001A44B9" w:rsidRPr="00CE20EC" w:rsidRDefault="001A44B9" w:rsidP="00260763">
            <w:pPr>
              <w:jc w:val="center"/>
            </w:pPr>
            <w:r w:rsidRPr="00CE20EC">
              <w:t>Objective two: Demonstrating collaboration</w:t>
            </w:r>
          </w:p>
        </w:tc>
        <w:tc>
          <w:tcPr>
            <w:tcW w:w="2642" w:type="dxa"/>
            <w:gridSpan w:val="2"/>
            <w:tcBorders>
              <w:bottom w:val="single" w:sz="4" w:space="0" w:color="auto"/>
            </w:tcBorders>
          </w:tcPr>
          <w:p w14:paraId="190795FD" w14:textId="77777777" w:rsidR="001A44B9" w:rsidRPr="00CE20EC" w:rsidRDefault="001A44B9" w:rsidP="001A44B9">
            <w:pPr>
              <w:tabs>
                <w:tab w:val="left" w:pos="5840"/>
              </w:tabs>
              <w:jc w:val="center"/>
            </w:pPr>
            <w:r w:rsidRPr="00CE20EC">
              <w:t>Objective three:</w:t>
            </w:r>
          </w:p>
          <w:p w14:paraId="7B18100C" w14:textId="36915F91" w:rsidR="001A44B9" w:rsidRDefault="001A44B9" w:rsidP="001A44B9">
            <w:pPr>
              <w:tabs>
                <w:tab w:val="left" w:pos="5840"/>
              </w:tabs>
              <w:jc w:val="center"/>
            </w:pPr>
            <w:r>
              <w:t>Demonstrating impact</w:t>
            </w:r>
          </w:p>
        </w:tc>
      </w:tr>
      <w:tr w:rsidR="00CE20EC" w14:paraId="2D2B79BA" w14:textId="77777777" w:rsidTr="00354CDB">
        <w:tc>
          <w:tcPr>
            <w:tcW w:w="1758" w:type="dxa"/>
            <w:tcBorders>
              <w:top w:val="single" w:sz="4" w:space="0" w:color="auto"/>
              <w:left w:val="nil"/>
              <w:bottom w:val="single" w:sz="4" w:space="0" w:color="auto"/>
              <w:right w:val="nil"/>
            </w:tcBorders>
            <w:vAlign w:val="center"/>
          </w:tcPr>
          <w:p w14:paraId="06342C3A" w14:textId="77777777" w:rsidR="00CE20EC" w:rsidRPr="00354CDB" w:rsidRDefault="00CE20EC" w:rsidP="00354CDB">
            <w:pPr>
              <w:tabs>
                <w:tab w:val="left" w:pos="5840"/>
              </w:tabs>
              <w:jc w:val="center"/>
              <w:rPr>
                <w:color w:val="FFFFFF" w:themeColor="background1"/>
              </w:rPr>
            </w:pPr>
          </w:p>
        </w:tc>
        <w:tc>
          <w:tcPr>
            <w:tcW w:w="2373" w:type="dxa"/>
            <w:tcBorders>
              <w:top w:val="single" w:sz="4" w:space="0" w:color="auto"/>
              <w:left w:val="nil"/>
              <w:bottom w:val="single" w:sz="4" w:space="0" w:color="auto"/>
              <w:right w:val="nil"/>
            </w:tcBorders>
          </w:tcPr>
          <w:p w14:paraId="1A916D49" w14:textId="77777777" w:rsidR="00CE20EC" w:rsidRPr="00CE20EC" w:rsidRDefault="00CE20EC" w:rsidP="001A44B9">
            <w:pPr>
              <w:jc w:val="center"/>
            </w:pPr>
          </w:p>
        </w:tc>
        <w:tc>
          <w:tcPr>
            <w:tcW w:w="2243" w:type="dxa"/>
            <w:tcBorders>
              <w:top w:val="single" w:sz="4" w:space="0" w:color="auto"/>
              <w:left w:val="nil"/>
              <w:bottom w:val="single" w:sz="4" w:space="0" w:color="auto"/>
              <w:right w:val="nil"/>
            </w:tcBorders>
          </w:tcPr>
          <w:p w14:paraId="581A568B" w14:textId="77777777" w:rsidR="00CE20EC" w:rsidRPr="00CE20EC" w:rsidRDefault="00CE20EC" w:rsidP="001A44B9">
            <w:pPr>
              <w:jc w:val="center"/>
            </w:pPr>
          </w:p>
        </w:tc>
        <w:tc>
          <w:tcPr>
            <w:tcW w:w="1044" w:type="dxa"/>
            <w:tcBorders>
              <w:top w:val="single" w:sz="4" w:space="0" w:color="auto"/>
              <w:left w:val="nil"/>
              <w:bottom w:val="single" w:sz="4" w:space="0" w:color="auto"/>
              <w:right w:val="nil"/>
            </w:tcBorders>
          </w:tcPr>
          <w:p w14:paraId="05770836" w14:textId="77777777" w:rsidR="00CE20EC" w:rsidRPr="00CE20EC" w:rsidRDefault="00CE20EC" w:rsidP="001A44B9">
            <w:pPr>
              <w:tabs>
                <w:tab w:val="left" w:pos="5840"/>
              </w:tabs>
              <w:jc w:val="center"/>
            </w:pPr>
          </w:p>
        </w:tc>
        <w:tc>
          <w:tcPr>
            <w:tcW w:w="1598" w:type="dxa"/>
            <w:tcBorders>
              <w:top w:val="single" w:sz="4" w:space="0" w:color="auto"/>
              <w:left w:val="nil"/>
              <w:bottom w:val="single" w:sz="4" w:space="0" w:color="auto"/>
              <w:right w:val="nil"/>
            </w:tcBorders>
          </w:tcPr>
          <w:p w14:paraId="4282C0CE" w14:textId="77777777" w:rsidR="00CE20EC" w:rsidRDefault="00CE20EC" w:rsidP="001A44B9">
            <w:pPr>
              <w:tabs>
                <w:tab w:val="left" w:pos="5840"/>
              </w:tabs>
              <w:jc w:val="center"/>
            </w:pPr>
          </w:p>
        </w:tc>
      </w:tr>
      <w:tr w:rsidR="001A44B9" w14:paraId="5AFC1DBD" w14:textId="77777777" w:rsidTr="00354CDB">
        <w:trPr>
          <w:trHeight w:val="453"/>
        </w:trPr>
        <w:tc>
          <w:tcPr>
            <w:tcW w:w="1758" w:type="dxa"/>
            <w:vMerge w:val="restart"/>
            <w:tcBorders>
              <w:top w:val="single" w:sz="4" w:space="0" w:color="auto"/>
            </w:tcBorders>
            <w:shd w:val="clear" w:color="auto" w:fill="A02B93" w:themeFill="accent5"/>
            <w:vAlign w:val="center"/>
          </w:tcPr>
          <w:p w14:paraId="336E3395" w14:textId="7D0A6BB5" w:rsidR="001A44B9" w:rsidRPr="00354CDB" w:rsidRDefault="001A44B9" w:rsidP="00354CDB">
            <w:pPr>
              <w:tabs>
                <w:tab w:val="left" w:pos="5840"/>
              </w:tabs>
              <w:jc w:val="center"/>
              <w:rPr>
                <w:b/>
                <w:bCs/>
                <w:color w:val="FFFFFF" w:themeColor="background1"/>
              </w:rPr>
            </w:pPr>
            <w:r w:rsidRPr="00354CDB">
              <w:rPr>
                <w:b/>
                <w:bCs/>
                <w:color w:val="FFFFFF" w:themeColor="background1"/>
              </w:rPr>
              <w:t>Approach</w:t>
            </w:r>
          </w:p>
        </w:tc>
        <w:tc>
          <w:tcPr>
            <w:tcW w:w="2373" w:type="dxa"/>
            <w:tcBorders>
              <w:top w:val="single" w:sz="4" w:space="0" w:color="auto"/>
            </w:tcBorders>
          </w:tcPr>
          <w:p w14:paraId="25BDA2D6" w14:textId="2638C356" w:rsidR="001A44B9" w:rsidRPr="00CE20EC" w:rsidRDefault="001A44B9" w:rsidP="001A44B9">
            <w:pPr>
              <w:jc w:val="center"/>
            </w:pPr>
            <w:r>
              <w:t>Stakeholder survey</w:t>
            </w:r>
          </w:p>
        </w:tc>
        <w:tc>
          <w:tcPr>
            <w:tcW w:w="2243" w:type="dxa"/>
            <w:tcBorders>
              <w:top w:val="single" w:sz="4" w:space="0" w:color="auto"/>
            </w:tcBorders>
          </w:tcPr>
          <w:p w14:paraId="771CBF0F" w14:textId="3E59AE2F" w:rsidR="001A44B9" w:rsidRPr="00CE20EC" w:rsidRDefault="001A44B9" w:rsidP="001A44B9">
            <w:pPr>
              <w:jc w:val="center"/>
            </w:pPr>
            <w:r>
              <w:t>Direct engagement</w:t>
            </w:r>
          </w:p>
        </w:tc>
        <w:tc>
          <w:tcPr>
            <w:tcW w:w="2642" w:type="dxa"/>
            <w:gridSpan w:val="2"/>
            <w:tcBorders>
              <w:top w:val="single" w:sz="4" w:space="0" w:color="auto"/>
            </w:tcBorders>
          </w:tcPr>
          <w:p w14:paraId="7287B372" w14:textId="5FBA96B5" w:rsidR="001A44B9" w:rsidRDefault="001A44B9" w:rsidP="001A44B9">
            <w:pPr>
              <w:tabs>
                <w:tab w:val="left" w:pos="5840"/>
              </w:tabs>
              <w:jc w:val="center"/>
            </w:pPr>
            <w:r>
              <w:t>Leverage key events</w:t>
            </w:r>
          </w:p>
        </w:tc>
      </w:tr>
      <w:tr w:rsidR="001A44B9" w14:paraId="1D6420B2" w14:textId="77777777" w:rsidTr="00354CDB">
        <w:tc>
          <w:tcPr>
            <w:tcW w:w="1758" w:type="dxa"/>
            <w:vMerge/>
            <w:shd w:val="clear" w:color="auto" w:fill="A02B93" w:themeFill="accent5"/>
          </w:tcPr>
          <w:p w14:paraId="334F0D68" w14:textId="77777777" w:rsidR="001A44B9" w:rsidRDefault="001A44B9" w:rsidP="001A44B9">
            <w:pPr>
              <w:tabs>
                <w:tab w:val="left" w:pos="5840"/>
              </w:tabs>
              <w:jc w:val="center"/>
            </w:pPr>
          </w:p>
        </w:tc>
        <w:tc>
          <w:tcPr>
            <w:tcW w:w="2373" w:type="dxa"/>
          </w:tcPr>
          <w:p w14:paraId="7AC22CBD" w14:textId="2E9D8605" w:rsidR="001A44B9" w:rsidRDefault="001A44B9" w:rsidP="001A44B9">
            <w:pPr>
              <w:jc w:val="center"/>
            </w:pPr>
            <w:r>
              <w:t>Enabling third party advocates</w:t>
            </w:r>
          </w:p>
        </w:tc>
        <w:tc>
          <w:tcPr>
            <w:tcW w:w="2243" w:type="dxa"/>
          </w:tcPr>
          <w:p w14:paraId="063B4653" w14:textId="0CAA8E2C" w:rsidR="001A44B9" w:rsidRDefault="001A44B9" w:rsidP="001A44B9">
            <w:pPr>
              <w:jc w:val="center"/>
            </w:pPr>
            <w:r>
              <w:t>Developing key publications</w:t>
            </w:r>
          </w:p>
        </w:tc>
        <w:tc>
          <w:tcPr>
            <w:tcW w:w="2642" w:type="dxa"/>
            <w:gridSpan w:val="2"/>
          </w:tcPr>
          <w:p w14:paraId="102959BB" w14:textId="1D87CE25" w:rsidR="001A44B9" w:rsidRDefault="001A44B9" w:rsidP="001A44B9">
            <w:pPr>
              <w:tabs>
                <w:tab w:val="left" w:pos="5840"/>
              </w:tabs>
              <w:jc w:val="center"/>
            </w:pPr>
            <w:r>
              <w:t>Strategic media engagement</w:t>
            </w:r>
          </w:p>
        </w:tc>
      </w:tr>
    </w:tbl>
    <w:p w14:paraId="467FABE1" w14:textId="77777777" w:rsidR="00C34116" w:rsidRDefault="00C34116" w:rsidP="00DB464B">
      <w:pPr>
        <w:tabs>
          <w:tab w:val="left" w:pos="5840"/>
        </w:tabs>
      </w:pPr>
    </w:p>
    <w:p w14:paraId="148243AF" w14:textId="77777777" w:rsidR="00687B5A" w:rsidRDefault="00687B5A" w:rsidP="00687B5A">
      <w:pPr>
        <w:tabs>
          <w:tab w:val="left" w:pos="5840"/>
        </w:tabs>
      </w:pPr>
    </w:p>
    <w:p w14:paraId="519449FD" w14:textId="0342E043" w:rsidR="00687B5A" w:rsidRDefault="00687B5A" w:rsidP="00687B5A">
      <w:pPr>
        <w:tabs>
          <w:tab w:val="left" w:pos="5840"/>
        </w:tabs>
        <w:sectPr w:rsidR="00687B5A" w:rsidSect="00802DB9">
          <w:headerReference w:type="default" r:id="rId10"/>
          <w:footerReference w:type="default" r:id="rId11"/>
          <w:pgSz w:w="11906" w:h="16838"/>
          <w:pgMar w:top="2266" w:right="1440" w:bottom="1440" w:left="1440" w:header="708" w:footer="708" w:gutter="0"/>
          <w:cols w:space="708"/>
          <w:docGrid w:linePitch="360"/>
        </w:sectPr>
      </w:pPr>
    </w:p>
    <w:p w14:paraId="6A0721E8" w14:textId="46ABE7FE" w:rsidR="000B57DE" w:rsidRDefault="00A72DD1" w:rsidP="00A72DD1">
      <w:pPr>
        <w:pStyle w:val="Heading2"/>
      </w:pPr>
      <w:r>
        <w:t>APPENDIX 1: STAKEHOLDER MAP</w:t>
      </w:r>
    </w:p>
    <w:p w14:paraId="3BF96792" w14:textId="568A705B" w:rsidR="000B57DE" w:rsidRPr="00427F22" w:rsidRDefault="00427F22" w:rsidP="000B57DE">
      <w:pPr>
        <w:rPr>
          <w:i/>
          <w:iCs/>
        </w:rPr>
      </w:pPr>
      <w:r w:rsidRPr="00427F22">
        <w:rPr>
          <w:i/>
          <w:iCs/>
        </w:rPr>
        <w:t>Note: to be completed in more de</w:t>
      </w:r>
      <w:r>
        <w:rPr>
          <w:i/>
          <w:iCs/>
        </w:rPr>
        <w:t>tail</w:t>
      </w:r>
      <w:r w:rsidRPr="00427F22">
        <w:rPr>
          <w:i/>
          <w:iCs/>
        </w:rPr>
        <w:t xml:space="preserve"> during Q1 and Q2 of Strategy implementation</w:t>
      </w:r>
    </w:p>
    <w:tbl>
      <w:tblPr>
        <w:tblStyle w:val="TableGrid"/>
        <w:tblW w:w="12049" w:type="dxa"/>
        <w:tblInd w:w="-714" w:type="dxa"/>
        <w:tblLayout w:type="fixed"/>
        <w:tblLook w:val="04A0" w:firstRow="1" w:lastRow="0" w:firstColumn="1" w:lastColumn="0" w:noHBand="0" w:noVBand="1"/>
      </w:tblPr>
      <w:tblGrid>
        <w:gridCol w:w="1843"/>
        <w:gridCol w:w="1701"/>
        <w:gridCol w:w="1701"/>
        <w:gridCol w:w="1560"/>
        <w:gridCol w:w="2409"/>
        <w:gridCol w:w="2835"/>
      </w:tblGrid>
      <w:tr w:rsidR="00902097" w:rsidRPr="00C667B2" w14:paraId="06024EB5" w14:textId="77777777" w:rsidTr="0064020A">
        <w:tc>
          <w:tcPr>
            <w:tcW w:w="1843" w:type="dxa"/>
          </w:tcPr>
          <w:p w14:paraId="3BFD730D" w14:textId="77777777" w:rsidR="00902097" w:rsidRPr="00C667B2" w:rsidRDefault="00902097" w:rsidP="00DE62FA">
            <w:pPr>
              <w:rPr>
                <w:b/>
                <w:sz w:val="20"/>
                <w:szCs w:val="20"/>
              </w:rPr>
            </w:pPr>
            <w:r w:rsidRPr="00C667B2">
              <w:rPr>
                <w:b/>
                <w:sz w:val="20"/>
                <w:szCs w:val="20"/>
              </w:rPr>
              <w:t>Stakeholder</w:t>
            </w:r>
          </w:p>
        </w:tc>
        <w:tc>
          <w:tcPr>
            <w:tcW w:w="1701" w:type="dxa"/>
          </w:tcPr>
          <w:p w14:paraId="7DD7F36D" w14:textId="7C153EF2" w:rsidR="00902097" w:rsidRDefault="00902097" w:rsidP="00525E83">
            <w:pPr>
              <w:rPr>
                <w:b/>
                <w:sz w:val="20"/>
                <w:szCs w:val="20"/>
              </w:rPr>
            </w:pPr>
            <w:r>
              <w:rPr>
                <w:b/>
                <w:sz w:val="20"/>
                <w:szCs w:val="20"/>
              </w:rPr>
              <w:t>Contact</w:t>
            </w:r>
          </w:p>
        </w:tc>
        <w:tc>
          <w:tcPr>
            <w:tcW w:w="1701" w:type="dxa"/>
          </w:tcPr>
          <w:p w14:paraId="05338B40" w14:textId="6EA9A97C" w:rsidR="00902097" w:rsidRPr="00C667B2" w:rsidRDefault="00902097" w:rsidP="00DE62FA">
            <w:pPr>
              <w:rPr>
                <w:b/>
                <w:sz w:val="20"/>
                <w:szCs w:val="20"/>
              </w:rPr>
            </w:pPr>
            <w:r w:rsidRPr="00C667B2">
              <w:rPr>
                <w:b/>
                <w:sz w:val="20"/>
                <w:szCs w:val="20"/>
              </w:rPr>
              <w:t>Importance</w:t>
            </w:r>
          </w:p>
        </w:tc>
        <w:tc>
          <w:tcPr>
            <w:tcW w:w="1560" w:type="dxa"/>
          </w:tcPr>
          <w:p w14:paraId="2571BB57" w14:textId="177F334F" w:rsidR="00902097" w:rsidRPr="00C667B2" w:rsidRDefault="69E3AB1A" w:rsidP="2E15E2A8">
            <w:pPr>
              <w:rPr>
                <w:b/>
                <w:bCs/>
                <w:sz w:val="20"/>
                <w:szCs w:val="20"/>
              </w:rPr>
            </w:pPr>
            <w:r w:rsidRPr="2E15E2A8">
              <w:rPr>
                <w:b/>
                <w:bCs/>
                <w:sz w:val="20"/>
                <w:szCs w:val="20"/>
              </w:rPr>
              <w:t>Desired relationship</w:t>
            </w:r>
          </w:p>
        </w:tc>
        <w:tc>
          <w:tcPr>
            <w:tcW w:w="2409" w:type="dxa"/>
          </w:tcPr>
          <w:p w14:paraId="172CCF13" w14:textId="05B4F4C4" w:rsidR="00902097" w:rsidRPr="00C667B2" w:rsidRDefault="00902097" w:rsidP="00DE62FA">
            <w:pPr>
              <w:rPr>
                <w:b/>
                <w:sz w:val="20"/>
                <w:szCs w:val="20"/>
              </w:rPr>
            </w:pPr>
            <w:r w:rsidRPr="00C667B2">
              <w:rPr>
                <w:b/>
                <w:sz w:val="20"/>
                <w:szCs w:val="20"/>
              </w:rPr>
              <w:t>Information source/s</w:t>
            </w:r>
            <w:r>
              <w:rPr>
                <w:b/>
                <w:sz w:val="20"/>
                <w:szCs w:val="20"/>
              </w:rPr>
              <w:t xml:space="preserve"> / Influenced by</w:t>
            </w:r>
          </w:p>
        </w:tc>
        <w:tc>
          <w:tcPr>
            <w:tcW w:w="2835" w:type="dxa"/>
          </w:tcPr>
          <w:p w14:paraId="2D10D6E8" w14:textId="77777777" w:rsidR="00902097" w:rsidRPr="00C667B2" w:rsidRDefault="00902097" w:rsidP="00DE62FA">
            <w:pPr>
              <w:rPr>
                <w:b/>
                <w:sz w:val="20"/>
                <w:szCs w:val="20"/>
              </w:rPr>
            </w:pPr>
            <w:r w:rsidRPr="00C667B2">
              <w:rPr>
                <w:b/>
                <w:sz w:val="20"/>
                <w:szCs w:val="20"/>
              </w:rPr>
              <w:t>Engagement and communication opportunities</w:t>
            </w:r>
          </w:p>
        </w:tc>
      </w:tr>
      <w:tr w:rsidR="00902097" w:rsidRPr="00C667B2" w14:paraId="32AC1963" w14:textId="77777777" w:rsidTr="0064020A">
        <w:tc>
          <w:tcPr>
            <w:tcW w:w="1843" w:type="dxa"/>
          </w:tcPr>
          <w:p w14:paraId="7B86D33A" w14:textId="77777777" w:rsidR="00902097" w:rsidRDefault="00902097" w:rsidP="00DE62FA">
            <w:pPr>
              <w:rPr>
                <w:sz w:val="20"/>
                <w:szCs w:val="20"/>
              </w:rPr>
            </w:pPr>
            <w:r w:rsidRPr="00C667B2">
              <w:rPr>
                <w:sz w:val="20"/>
                <w:szCs w:val="20"/>
              </w:rPr>
              <w:t>Minister for Agriculture</w:t>
            </w:r>
            <w:r>
              <w:rPr>
                <w:sz w:val="20"/>
                <w:szCs w:val="20"/>
              </w:rPr>
              <w:t>, Fisheries</w:t>
            </w:r>
            <w:r w:rsidRPr="00C667B2">
              <w:rPr>
                <w:sz w:val="20"/>
                <w:szCs w:val="20"/>
              </w:rPr>
              <w:t xml:space="preserve"> and </w:t>
            </w:r>
            <w:r>
              <w:rPr>
                <w:sz w:val="20"/>
                <w:szCs w:val="20"/>
              </w:rPr>
              <w:t xml:space="preserve">Forestry </w:t>
            </w:r>
          </w:p>
          <w:p w14:paraId="2192203E" w14:textId="427BB482" w:rsidR="00902097" w:rsidRPr="00C667B2" w:rsidRDefault="00902097" w:rsidP="00DE62FA">
            <w:pPr>
              <w:rPr>
                <w:sz w:val="20"/>
                <w:szCs w:val="20"/>
              </w:rPr>
            </w:pPr>
          </w:p>
        </w:tc>
        <w:tc>
          <w:tcPr>
            <w:tcW w:w="1701" w:type="dxa"/>
          </w:tcPr>
          <w:p w14:paraId="3E713843" w14:textId="54D7E51C" w:rsidR="00902097" w:rsidRDefault="00902097" w:rsidP="00525E83">
            <w:pPr>
              <w:rPr>
                <w:sz w:val="20"/>
                <w:szCs w:val="20"/>
              </w:rPr>
            </w:pPr>
            <w:r>
              <w:rPr>
                <w:sz w:val="20"/>
                <w:szCs w:val="20"/>
              </w:rPr>
              <w:t>Minister Collins</w:t>
            </w:r>
          </w:p>
        </w:tc>
        <w:tc>
          <w:tcPr>
            <w:tcW w:w="1701" w:type="dxa"/>
          </w:tcPr>
          <w:p w14:paraId="7DEB9D9F" w14:textId="1D897C46" w:rsidR="00902097" w:rsidRPr="00C667B2" w:rsidRDefault="00902097" w:rsidP="00DE62FA">
            <w:pPr>
              <w:rPr>
                <w:sz w:val="20"/>
                <w:szCs w:val="20"/>
              </w:rPr>
            </w:pPr>
            <w:r w:rsidRPr="00C667B2">
              <w:rPr>
                <w:sz w:val="20"/>
                <w:szCs w:val="20"/>
              </w:rPr>
              <w:t>Portfolio lead and key decision maker for the system</w:t>
            </w:r>
          </w:p>
        </w:tc>
        <w:tc>
          <w:tcPr>
            <w:tcW w:w="1560" w:type="dxa"/>
          </w:tcPr>
          <w:p w14:paraId="530AD851" w14:textId="29B68EA0" w:rsidR="00902097" w:rsidRPr="00C667B2" w:rsidRDefault="00902097" w:rsidP="00DE62FA">
            <w:pPr>
              <w:rPr>
                <w:sz w:val="20"/>
                <w:szCs w:val="20"/>
              </w:rPr>
            </w:pPr>
            <w:r w:rsidRPr="00C667B2">
              <w:rPr>
                <w:sz w:val="20"/>
                <w:szCs w:val="20"/>
              </w:rPr>
              <w:t>RDCs as a trusted, critical, ‘go-to’ partner within the portfolio for advice and delivery</w:t>
            </w:r>
          </w:p>
        </w:tc>
        <w:tc>
          <w:tcPr>
            <w:tcW w:w="2409" w:type="dxa"/>
          </w:tcPr>
          <w:p w14:paraId="6219897E" w14:textId="77777777" w:rsidR="00902097" w:rsidRPr="00C667B2" w:rsidRDefault="00902097" w:rsidP="00DE62FA">
            <w:pPr>
              <w:rPr>
                <w:sz w:val="20"/>
                <w:szCs w:val="20"/>
              </w:rPr>
            </w:pPr>
            <w:r w:rsidRPr="00C667B2">
              <w:rPr>
                <w:sz w:val="20"/>
                <w:szCs w:val="20"/>
              </w:rPr>
              <w:t>Advisers (CoS, R&amp;D)</w:t>
            </w:r>
          </w:p>
          <w:p w14:paraId="08BCA076" w14:textId="30A3C780" w:rsidR="00902097" w:rsidRPr="00C667B2" w:rsidRDefault="00902097" w:rsidP="00DE62FA">
            <w:pPr>
              <w:rPr>
                <w:sz w:val="20"/>
                <w:szCs w:val="20"/>
              </w:rPr>
            </w:pPr>
            <w:r w:rsidRPr="00C667B2">
              <w:rPr>
                <w:sz w:val="20"/>
                <w:szCs w:val="20"/>
              </w:rPr>
              <w:t xml:space="preserve">Department </w:t>
            </w:r>
          </w:p>
          <w:p w14:paraId="476481BE" w14:textId="77777777" w:rsidR="00902097" w:rsidRPr="00C667B2" w:rsidRDefault="00902097" w:rsidP="00DE62FA">
            <w:pPr>
              <w:rPr>
                <w:sz w:val="20"/>
                <w:szCs w:val="20"/>
              </w:rPr>
            </w:pPr>
            <w:r w:rsidRPr="00C667B2">
              <w:rPr>
                <w:sz w:val="20"/>
                <w:szCs w:val="20"/>
              </w:rPr>
              <w:t>Party and Parliamentary colleagues</w:t>
            </w:r>
          </w:p>
          <w:p w14:paraId="75D23CAC" w14:textId="77777777" w:rsidR="00902097" w:rsidRPr="00C667B2" w:rsidRDefault="00902097" w:rsidP="00DE62FA">
            <w:pPr>
              <w:rPr>
                <w:sz w:val="20"/>
                <w:szCs w:val="20"/>
              </w:rPr>
            </w:pPr>
            <w:r w:rsidRPr="00C667B2">
              <w:rPr>
                <w:sz w:val="20"/>
                <w:szCs w:val="20"/>
              </w:rPr>
              <w:t>RDCs / Council</w:t>
            </w:r>
          </w:p>
          <w:p w14:paraId="1D6E8CD8" w14:textId="77777777" w:rsidR="00902097" w:rsidRPr="00C667B2" w:rsidRDefault="00902097" w:rsidP="00DE62FA">
            <w:pPr>
              <w:rPr>
                <w:sz w:val="20"/>
                <w:szCs w:val="20"/>
              </w:rPr>
            </w:pPr>
            <w:r w:rsidRPr="00C667B2">
              <w:rPr>
                <w:sz w:val="20"/>
                <w:szCs w:val="20"/>
              </w:rPr>
              <w:t>Industry</w:t>
            </w:r>
          </w:p>
          <w:p w14:paraId="351E05C6" w14:textId="77777777" w:rsidR="00902097" w:rsidRPr="00C667B2" w:rsidRDefault="00902097" w:rsidP="00DE62FA">
            <w:pPr>
              <w:rPr>
                <w:sz w:val="20"/>
                <w:szCs w:val="20"/>
              </w:rPr>
            </w:pPr>
            <w:r w:rsidRPr="00C667B2">
              <w:rPr>
                <w:sz w:val="20"/>
                <w:szCs w:val="20"/>
              </w:rPr>
              <w:t>Media</w:t>
            </w:r>
          </w:p>
          <w:p w14:paraId="5BD04575" w14:textId="77777777" w:rsidR="00902097" w:rsidRPr="00C667B2" w:rsidRDefault="00902097" w:rsidP="00DE62FA">
            <w:pPr>
              <w:rPr>
                <w:sz w:val="20"/>
                <w:szCs w:val="20"/>
              </w:rPr>
            </w:pPr>
            <w:r w:rsidRPr="00C667B2">
              <w:rPr>
                <w:sz w:val="20"/>
                <w:szCs w:val="20"/>
              </w:rPr>
              <w:t>AGMIN / AgSOC</w:t>
            </w:r>
          </w:p>
        </w:tc>
        <w:tc>
          <w:tcPr>
            <w:tcW w:w="2835" w:type="dxa"/>
          </w:tcPr>
          <w:p w14:paraId="6005931C" w14:textId="77777777" w:rsidR="00902097" w:rsidRPr="00C667B2" w:rsidRDefault="00902097" w:rsidP="00DE62FA">
            <w:pPr>
              <w:rPr>
                <w:sz w:val="20"/>
                <w:szCs w:val="20"/>
              </w:rPr>
            </w:pPr>
            <w:r w:rsidRPr="00C667B2">
              <w:rPr>
                <w:sz w:val="20"/>
                <w:szCs w:val="20"/>
              </w:rPr>
              <w:t>Briefings</w:t>
            </w:r>
          </w:p>
          <w:p w14:paraId="50E991CE" w14:textId="77777777" w:rsidR="00902097" w:rsidRPr="00C667B2" w:rsidRDefault="00902097" w:rsidP="00DE62FA">
            <w:pPr>
              <w:rPr>
                <w:sz w:val="20"/>
                <w:szCs w:val="20"/>
              </w:rPr>
            </w:pPr>
            <w:r w:rsidRPr="00C667B2">
              <w:rPr>
                <w:sz w:val="20"/>
                <w:szCs w:val="20"/>
              </w:rPr>
              <w:t>Events (speaking opportunities)</w:t>
            </w:r>
          </w:p>
          <w:p w14:paraId="2B8B769C" w14:textId="77777777" w:rsidR="00902097" w:rsidRPr="00C667B2" w:rsidRDefault="00902097" w:rsidP="00DE62FA">
            <w:pPr>
              <w:rPr>
                <w:sz w:val="20"/>
                <w:szCs w:val="20"/>
              </w:rPr>
            </w:pPr>
            <w:r w:rsidRPr="00C667B2">
              <w:rPr>
                <w:sz w:val="20"/>
                <w:szCs w:val="20"/>
              </w:rPr>
              <w:t>Media – outgoing (eg announcements/ launches)</w:t>
            </w:r>
          </w:p>
          <w:p w14:paraId="2052124B" w14:textId="77777777" w:rsidR="00902097" w:rsidRPr="00C667B2" w:rsidRDefault="00902097" w:rsidP="00DE62FA">
            <w:pPr>
              <w:rPr>
                <w:sz w:val="20"/>
                <w:szCs w:val="20"/>
              </w:rPr>
            </w:pPr>
            <w:r w:rsidRPr="00C667B2">
              <w:rPr>
                <w:sz w:val="20"/>
                <w:szCs w:val="20"/>
              </w:rPr>
              <w:t>Media – incoming</w:t>
            </w:r>
          </w:p>
          <w:p w14:paraId="07949600" w14:textId="77777777" w:rsidR="00902097" w:rsidRPr="00C667B2" w:rsidRDefault="00902097" w:rsidP="00DE62FA">
            <w:pPr>
              <w:rPr>
                <w:sz w:val="20"/>
                <w:szCs w:val="20"/>
              </w:rPr>
            </w:pPr>
            <w:r w:rsidRPr="00C667B2">
              <w:rPr>
                <w:sz w:val="20"/>
                <w:szCs w:val="20"/>
              </w:rPr>
              <w:t>Parliamentary processes (QoNs, inquiries, QTBs)</w:t>
            </w:r>
          </w:p>
          <w:p w14:paraId="6A4B2DCD" w14:textId="77777777" w:rsidR="00902097" w:rsidRPr="00C667B2" w:rsidRDefault="00902097" w:rsidP="00DE62FA">
            <w:pPr>
              <w:rPr>
                <w:sz w:val="20"/>
                <w:szCs w:val="20"/>
              </w:rPr>
            </w:pPr>
            <w:r w:rsidRPr="00C667B2">
              <w:rPr>
                <w:sz w:val="20"/>
                <w:szCs w:val="20"/>
              </w:rPr>
              <w:t>Council meetings</w:t>
            </w:r>
          </w:p>
          <w:p w14:paraId="05157564" w14:textId="77777777" w:rsidR="00902097" w:rsidRDefault="00902097" w:rsidP="00DE62FA">
            <w:pPr>
              <w:rPr>
                <w:sz w:val="20"/>
                <w:szCs w:val="20"/>
              </w:rPr>
            </w:pPr>
            <w:r w:rsidRPr="00C667B2">
              <w:rPr>
                <w:sz w:val="20"/>
                <w:szCs w:val="20"/>
              </w:rPr>
              <w:t>Social media</w:t>
            </w:r>
          </w:p>
          <w:p w14:paraId="61290D54" w14:textId="7B84F719" w:rsidR="0064020A" w:rsidRPr="00C667B2" w:rsidRDefault="0064020A" w:rsidP="00DE62FA">
            <w:pPr>
              <w:rPr>
                <w:sz w:val="20"/>
                <w:szCs w:val="20"/>
              </w:rPr>
            </w:pPr>
          </w:p>
        </w:tc>
      </w:tr>
      <w:tr w:rsidR="00902097" w:rsidRPr="00C667B2" w14:paraId="2F9335F6" w14:textId="77777777" w:rsidTr="0064020A">
        <w:tc>
          <w:tcPr>
            <w:tcW w:w="1843" w:type="dxa"/>
          </w:tcPr>
          <w:p w14:paraId="0F56AD6E" w14:textId="02389BA7" w:rsidR="00902097" w:rsidRPr="006B4B34" w:rsidRDefault="00902097" w:rsidP="00DE62FA">
            <w:pPr>
              <w:rPr>
                <w:sz w:val="20"/>
                <w:szCs w:val="20"/>
              </w:rPr>
            </w:pPr>
            <w:r w:rsidRPr="006B4B34">
              <w:rPr>
                <w:sz w:val="20"/>
                <w:szCs w:val="20"/>
              </w:rPr>
              <w:t>Assistant Minister for Agriculture, Fisheries and Forestry</w:t>
            </w:r>
          </w:p>
        </w:tc>
        <w:tc>
          <w:tcPr>
            <w:tcW w:w="1701" w:type="dxa"/>
          </w:tcPr>
          <w:p w14:paraId="6054373A" w14:textId="5855EFC5" w:rsidR="00902097" w:rsidRPr="006B4B34" w:rsidRDefault="00902097" w:rsidP="00525E83">
            <w:pPr>
              <w:rPr>
                <w:sz w:val="20"/>
                <w:szCs w:val="20"/>
              </w:rPr>
            </w:pPr>
            <w:r w:rsidRPr="006B4B34">
              <w:rPr>
                <w:sz w:val="20"/>
                <w:szCs w:val="20"/>
              </w:rPr>
              <w:t>Minister Chisholm</w:t>
            </w:r>
          </w:p>
        </w:tc>
        <w:tc>
          <w:tcPr>
            <w:tcW w:w="1701" w:type="dxa"/>
          </w:tcPr>
          <w:p w14:paraId="0B480CDC" w14:textId="4CB53F8F" w:rsidR="00902097" w:rsidRPr="00C667B2" w:rsidRDefault="00902097" w:rsidP="00DE62FA">
            <w:pPr>
              <w:rPr>
                <w:sz w:val="20"/>
                <w:szCs w:val="20"/>
              </w:rPr>
            </w:pPr>
            <w:r w:rsidRPr="00C667B2">
              <w:rPr>
                <w:sz w:val="20"/>
                <w:szCs w:val="20"/>
              </w:rPr>
              <w:t>Portfolio responsibility for horticulture, fisheries, forestry and wine. Potential to reinforce or diminish key messaging.</w:t>
            </w:r>
          </w:p>
        </w:tc>
        <w:tc>
          <w:tcPr>
            <w:tcW w:w="1560" w:type="dxa"/>
          </w:tcPr>
          <w:p w14:paraId="66221ABA" w14:textId="454C2014" w:rsidR="00902097" w:rsidRPr="00C667B2" w:rsidRDefault="00902097" w:rsidP="00DE62FA">
            <w:pPr>
              <w:rPr>
                <w:sz w:val="20"/>
                <w:szCs w:val="20"/>
              </w:rPr>
            </w:pPr>
            <w:r w:rsidRPr="00C667B2">
              <w:rPr>
                <w:sz w:val="20"/>
                <w:szCs w:val="20"/>
              </w:rPr>
              <w:t>RDCs as trusted, critical, ‘go-to’ partner within the portfolio for advice and delivery</w:t>
            </w:r>
          </w:p>
        </w:tc>
        <w:tc>
          <w:tcPr>
            <w:tcW w:w="2409" w:type="dxa"/>
          </w:tcPr>
          <w:p w14:paraId="4568445C" w14:textId="77777777" w:rsidR="00902097" w:rsidRPr="00C667B2" w:rsidRDefault="00902097" w:rsidP="00DE62FA">
            <w:pPr>
              <w:rPr>
                <w:sz w:val="20"/>
                <w:szCs w:val="20"/>
              </w:rPr>
            </w:pPr>
            <w:r w:rsidRPr="00C667B2">
              <w:rPr>
                <w:sz w:val="20"/>
                <w:szCs w:val="20"/>
              </w:rPr>
              <w:t>Advisers (CoS, R&amp;D)</w:t>
            </w:r>
          </w:p>
          <w:p w14:paraId="4C1361C0" w14:textId="77777777" w:rsidR="00902097" w:rsidRPr="00C667B2" w:rsidRDefault="00902097" w:rsidP="00DE62FA">
            <w:pPr>
              <w:rPr>
                <w:sz w:val="20"/>
                <w:szCs w:val="20"/>
              </w:rPr>
            </w:pPr>
            <w:r w:rsidRPr="00C667B2">
              <w:rPr>
                <w:sz w:val="20"/>
                <w:szCs w:val="20"/>
              </w:rPr>
              <w:t>Department of Agriculture and Water Resources</w:t>
            </w:r>
          </w:p>
          <w:p w14:paraId="1E99E4E9" w14:textId="77777777" w:rsidR="00902097" w:rsidRPr="00C667B2" w:rsidRDefault="00902097" w:rsidP="00DE62FA">
            <w:pPr>
              <w:rPr>
                <w:sz w:val="20"/>
                <w:szCs w:val="20"/>
              </w:rPr>
            </w:pPr>
            <w:r w:rsidRPr="00C667B2">
              <w:rPr>
                <w:sz w:val="20"/>
                <w:szCs w:val="20"/>
              </w:rPr>
              <w:t>Party and Parliamentary colleagues</w:t>
            </w:r>
          </w:p>
          <w:p w14:paraId="10EF702D" w14:textId="77777777" w:rsidR="00902097" w:rsidRPr="00C667B2" w:rsidRDefault="00902097" w:rsidP="00DE62FA">
            <w:pPr>
              <w:rPr>
                <w:sz w:val="20"/>
                <w:szCs w:val="20"/>
              </w:rPr>
            </w:pPr>
            <w:r w:rsidRPr="00C667B2">
              <w:rPr>
                <w:sz w:val="20"/>
                <w:szCs w:val="20"/>
              </w:rPr>
              <w:t>RDCs / Council</w:t>
            </w:r>
          </w:p>
          <w:p w14:paraId="4CAF244C" w14:textId="77777777" w:rsidR="00902097" w:rsidRPr="00C667B2" w:rsidRDefault="00902097" w:rsidP="00DE62FA">
            <w:pPr>
              <w:rPr>
                <w:sz w:val="20"/>
                <w:szCs w:val="20"/>
              </w:rPr>
            </w:pPr>
            <w:r w:rsidRPr="00C667B2">
              <w:rPr>
                <w:sz w:val="20"/>
                <w:szCs w:val="20"/>
              </w:rPr>
              <w:t xml:space="preserve">Industry </w:t>
            </w:r>
          </w:p>
          <w:p w14:paraId="7610490E" w14:textId="77777777" w:rsidR="00902097" w:rsidRPr="00C667B2" w:rsidRDefault="00902097" w:rsidP="00DE62FA">
            <w:pPr>
              <w:rPr>
                <w:sz w:val="20"/>
                <w:szCs w:val="20"/>
              </w:rPr>
            </w:pPr>
            <w:r w:rsidRPr="00C667B2">
              <w:rPr>
                <w:sz w:val="20"/>
                <w:szCs w:val="20"/>
              </w:rPr>
              <w:t>Media</w:t>
            </w:r>
          </w:p>
        </w:tc>
        <w:tc>
          <w:tcPr>
            <w:tcW w:w="2835" w:type="dxa"/>
          </w:tcPr>
          <w:p w14:paraId="69CF88EE" w14:textId="77777777" w:rsidR="00902097" w:rsidRPr="00C667B2" w:rsidRDefault="00902097" w:rsidP="00DE62FA">
            <w:pPr>
              <w:rPr>
                <w:sz w:val="20"/>
                <w:szCs w:val="20"/>
              </w:rPr>
            </w:pPr>
            <w:r w:rsidRPr="00C667B2">
              <w:rPr>
                <w:sz w:val="20"/>
                <w:szCs w:val="20"/>
              </w:rPr>
              <w:t>Briefings</w:t>
            </w:r>
          </w:p>
          <w:p w14:paraId="59C51390" w14:textId="77777777" w:rsidR="00902097" w:rsidRPr="00C667B2" w:rsidRDefault="00902097" w:rsidP="00DE62FA">
            <w:pPr>
              <w:rPr>
                <w:sz w:val="20"/>
                <w:szCs w:val="20"/>
              </w:rPr>
            </w:pPr>
            <w:r w:rsidRPr="00C667B2">
              <w:rPr>
                <w:sz w:val="20"/>
                <w:szCs w:val="20"/>
              </w:rPr>
              <w:t>Events (speaking opportunities)</w:t>
            </w:r>
          </w:p>
          <w:p w14:paraId="788C53E0" w14:textId="77777777" w:rsidR="00902097" w:rsidRPr="00C667B2" w:rsidRDefault="00902097" w:rsidP="00DE62FA">
            <w:pPr>
              <w:rPr>
                <w:sz w:val="20"/>
                <w:szCs w:val="20"/>
              </w:rPr>
            </w:pPr>
            <w:r w:rsidRPr="00C667B2">
              <w:rPr>
                <w:sz w:val="20"/>
                <w:szCs w:val="20"/>
              </w:rPr>
              <w:t>Media – outgoing (announcements/ launches)</w:t>
            </w:r>
          </w:p>
          <w:p w14:paraId="3A7AAD0A" w14:textId="77777777" w:rsidR="00902097" w:rsidRPr="00C667B2" w:rsidRDefault="00902097" w:rsidP="00DE62FA">
            <w:pPr>
              <w:rPr>
                <w:sz w:val="20"/>
                <w:szCs w:val="20"/>
              </w:rPr>
            </w:pPr>
            <w:r w:rsidRPr="00C667B2">
              <w:rPr>
                <w:sz w:val="20"/>
                <w:szCs w:val="20"/>
              </w:rPr>
              <w:t>Media – incoming</w:t>
            </w:r>
          </w:p>
          <w:p w14:paraId="0F4D2B6F" w14:textId="77777777" w:rsidR="00902097" w:rsidRPr="00C667B2" w:rsidRDefault="00902097" w:rsidP="00DE62FA">
            <w:pPr>
              <w:rPr>
                <w:sz w:val="20"/>
                <w:szCs w:val="20"/>
              </w:rPr>
            </w:pPr>
            <w:r w:rsidRPr="00C667B2">
              <w:rPr>
                <w:sz w:val="20"/>
                <w:szCs w:val="20"/>
              </w:rPr>
              <w:t>Parliamentary processes (QoNs, inquiries, QTBs, Estimates)</w:t>
            </w:r>
          </w:p>
          <w:p w14:paraId="1E87E9CA" w14:textId="77777777" w:rsidR="00902097" w:rsidRPr="00C667B2" w:rsidRDefault="00902097" w:rsidP="00DE62FA">
            <w:pPr>
              <w:rPr>
                <w:sz w:val="20"/>
                <w:szCs w:val="20"/>
              </w:rPr>
            </w:pPr>
            <w:r w:rsidRPr="00C667B2">
              <w:rPr>
                <w:sz w:val="20"/>
                <w:szCs w:val="20"/>
              </w:rPr>
              <w:t>Council meetings and activities</w:t>
            </w:r>
          </w:p>
          <w:p w14:paraId="5F20A127" w14:textId="77777777" w:rsidR="00902097" w:rsidRPr="00C667B2" w:rsidRDefault="00902097" w:rsidP="00DE62FA">
            <w:pPr>
              <w:rPr>
                <w:sz w:val="20"/>
                <w:szCs w:val="20"/>
              </w:rPr>
            </w:pPr>
            <w:r w:rsidRPr="00C667B2">
              <w:rPr>
                <w:sz w:val="20"/>
                <w:szCs w:val="20"/>
              </w:rPr>
              <w:t>Social media</w:t>
            </w:r>
          </w:p>
        </w:tc>
      </w:tr>
      <w:tr w:rsidR="0064020A" w:rsidRPr="00C667B2" w14:paraId="1DF3D5D7" w14:textId="77777777" w:rsidTr="0064020A">
        <w:tc>
          <w:tcPr>
            <w:tcW w:w="1843" w:type="dxa"/>
          </w:tcPr>
          <w:p w14:paraId="460ECCE9" w14:textId="77777777" w:rsidR="0064020A" w:rsidRPr="00C667B2" w:rsidRDefault="0064020A" w:rsidP="008E44F9">
            <w:pPr>
              <w:rPr>
                <w:sz w:val="20"/>
                <w:szCs w:val="20"/>
              </w:rPr>
            </w:pPr>
            <w:r w:rsidRPr="00C667B2">
              <w:rPr>
                <w:sz w:val="20"/>
                <w:szCs w:val="20"/>
              </w:rPr>
              <w:t>Ministerial advisers</w:t>
            </w:r>
            <w:r>
              <w:rPr>
                <w:sz w:val="20"/>
                <w:szCs w:val="20"/>
              </w:rPr>
              <w:t xml:space="preserve"> to Minister Collins and Assistant Minister Chisholm.</w:t>
            </w:r>
          </w:p>
        </w:tc>
        <w:tc>
          <w:tcPr>
            <w:tcW w:w="1701" w:type="dxa"/>
          </w:tcPr>
          <w:p w14:paraId="40D7EB93" w14:textId="77777777" w:rsidR="0064020A" w:rsidRPr="00C667B2" w:rsidRDefault="0064020A" w:rsidP="008E44F9">
            <w:pPr>
              <w:rPr>
                <w:sz w:val="20"/>
                <w:szCs w:val="20"/>
              </w:rPr>
            </w:pPr>
            <w:r>
              <w:rPr>
                <w:sz w:val="20"/>
                <w:szCs w:val="20"/>
              </w:rPr>
              <w:t>Nicole Gazenbeek, Senator Chisholm Office</w:t>
            </w:r>
          </w:p>
        </w:tc>
        <w:tc>
          <w:tcPr>
            <w:tcW w:w="1701" w:type="dxa"/>
          </w:tcPr>
          <w:p w14:paraId="36753394" w14:textId="77777777" w:rsidR="0064020A" w:rsidRPr="00C667B2" w:rsidRDefault="0064020A" w:rsidP="008E44F9">
            <w:pPr>
              <w:rPr>
                <w:sz w:val="20"/>
                <w:szCs w:val="20"/>
              </w:rPr>
            </w:pPr>
            <w:r w:rsidRPr="00C667B2">
              <w:rPr>
                <w:sz w:val="20"/>
                <w:szCs w:val="20"/>
              </w:rPr>
              <w:t>Key influencers of Minister and Assistant Minister</w:t>
            </w:r>
          </w:p>
        </w:tc>
        <w:tc>
          <w:tcPr>
            <w:tcW w:w="1560" w:type="dxa"/>
          </w:tcPr>
          <w:p w14:paraId="4948920D" w14:textId="77777777" w:rsidR="0064020A" w:rsidRPr="00C667B2" w:rsidRDefault="0064020A" w:rsidP="008E44F9">
            <w:pPr>
              <w:rPr>
                <w:sz w:val="20"/>
                <w:szCs w:val="20"/>
              </w:rPr>
            </w:pPr>
            <w:r w:rsidRPr="00C667B2">
              <w:rPr>
                <w:sz w:val="20"/>
                <w:szCs w:val="20"/>
              </w:rPr>
              <w:t>RDCs can be trusted, and are a critical, ‘go-to’ partner within the portfolio for advice and delivery</w:t>
            </w:r>
          </w:p>
        </w:tc>
        <w:tc>
          <w:tcPr>
            <w:tcW w:w="2409" w:type="dxa"/>
          </w:tcPr>
          <w:p w14:paraId="0017DC09" w14:textId="77777777" w:rsidR="0064020A" w:rsidRPr="00C667B2" w:rsidRDefault="0064020A" w:rsidP="008E44F9">
            <w:pPr>
              <w:rPr>
                <w:sz w:val="20"/>
                <w:szCs w:val="20"/>
              </w:rPr>
            </w:pPr>
            <w:r w:rsidRPr="00C667B2">
              <w:rPr>
                <w:sz w:val="20"/>
                <w:szCs w:val="20"/>
              </w:rPr>
              <w:t>DAWR</w:t>
            </w:r>
          </w:p>
          <w:p w14:paraId="2E60FA8C" w14:textId="77777777" w:rsidR="0064020A" w:rsidRPr="00C667B2" w:rsidRDefault="0064020A" w:rsidP="008E44F9">
            <w:pPr>
              <w:rPr>
                <w:sz w:val="20"/>
                <w:szCs w:val="20"/>
              </w:rPr>
            </w:pPr>
            <w:r w:rsidRPr="00C667B2">
              <w:rPr>
                <w:sz w:val="20"/>
                <w:szCs w:val="20"/>
              </w:rPr>
              <w:t>Parliamentary processes</w:t>
            </w:r>
          </w:p>
          <w:p w14:paraId="597885F4" w14:textId="77777777" w:rsidR="0064020A" w:rsidRPr="00C667B2" w:rsidRDefault="0064020A" w:rsidP="008E44F9">
            <w:pPr>
              <w:rPr>
                <w:sz w:val="20"/>
                <w:szCs w:val="20"/>
              </w:rPr>
            </w:pPr>
            <w:r w:rsidRPr="00C667B2">
              <w:rPr>
                <w:sz w:val="20"/>
                <w:szCs w:val="20"/>
              </w:rPr>
              <w:t>RDCs / Council</w:t>
            </w:r>
          </w:p>
          <w:p w14:paraId="7FB7D8D9" w14:textId="77777777" w:rsidR="0064020A" w:rsidRPr="00C667B2" w:rsidRDefault="0064020A" w:rsidP="008E44F9">
            <w:pPr>
              <w:rPr>
                <w:sz w:val="20"/>
                <w:szCs w:val="20"/>
              </w:rPr>
            </w:pPr>
            <w:r w:rsidRPr="00C667B2">
              <w:rPr>
                <w:sz w:val="20"/>
                <w:szCs w:val="20"/>
              </w:rPr>
              <w:t>Industry</w:t>
            </w:r>
          </w:p>
          <w:p w14:paraId="4B06FCA9" w14:textId="77777777" w:rsidR="0064020A" w:rsidRPr="00C667B2" w:rsidRDefault="0064020A" w:rsidP="008E44F9">
            <w:pPr>
              <w:rPr>
                <w:sz w:val="20"/>
                <w:szCs w:val="20"/>
              </w:rPr>
            </w:pPr>
            <w:r w:rsidRPr="00C667B2">
              <w:rPr>
                <w:sz w:val="20"/>
                <w:szCs w:val="20"/>
              </w:rPr>
              <w:t>Media – incoming</w:t>
            </w:r>
          </w:p>
          <w:p w14:paraId="6617B4BC" w14:textId="77777777" w:rsidR="0064020A" w:rsidRPr="00C667B2" w:rsidRDefault="0064020A" w:rsidP="008E44F9">
            <w:pPr>
              <w:rPr>
                <w:sz w:val="20"/>
                <w:szCs w:val="20"/>
              </w:rPr>
            </w:pPr>
            <w:r w:rsidRPr="00C667B2">
              <w:rPr>
                <w:sz w:val="20"/>
                <w:szCs w:val="20"/>
              </w:rPr>
              <w:t>Social media</w:t>
            </w:r>
          </w:p>
        </w:tc>
        <w:tc>
          <w:tcPr>
            <w:tcW w:w="2835" w:type="dxa"/>
          </w:tcPr>
          <w:p w14:paraId="367D8C3B" w14:textId="77777777" w:rsidR="0064020A" w:rsidRPr="00C667B2" w:rsidRDefault="0064020A" w:rsidP="008E44F9">
            <w:pPr>
              <w:rPr>
                <w:sz w:val="20"/>
                <w:szCs w:val="20"/>
              </w:rPr>
            </w:pPr>
            <w:r w:rsidRPr="00C667B2">
              <w:rPr>
                <w:sz w:val="20"/>
                <w:szCs w:val="20"/>
              </w:rPr>
              <w:t>Briefings</w:t>
            </w:r>
          </w:p>
          <w:p w14:paraId="0979778C" w14:textId="77777777" w:rsidR="0064020A" w:rsidRPr="00C667B2" w:rsidRDefault="0064020A" w:rsidP="008E44F9">
            <w:pPr>
              <w:rPr>
                <w:sz w:val="20"/>
                <w:szCs w:val="20"/>
              </w:rPr>
            </w:pPr>
            <w:r w:rsidRPr="00C667B2">
              <w:rPr>
                <w:sz w:val="20"/>
                <w:szCs w:val="20"/>
              </w:rPr>
              <w:t>Correspondence</w:t>
            </w:r>
          </w:p>
          <w:p w14:paraId="13EBED9C" w14:textId="77777777" w:rsidR="0064020A" w:rsidRPr="00C667B2" w:rsidRDefault="0064020A" w:rsidP="008E44F9">
            <w:pPr>
              <w:rPr>
                <w:sz w:val="20"/>
                <w:szCs w:val="20"/>
              </w:rPr>
            </w:pPr>
            <w:r w:rsidRPr="00C667B2">
              <w:rPr>
                <w:sz w:val="20"/>
                <w:szCs w:val="20"/>
              </w:rPr>
              <w:t>Parliamentary processes (QoNs, inquiries, QTBs, Estimates)</w:t>
            </w:r>
          </w:p>
          <w:p w14:paraId="5D07328A" w14:textId="77777777" w:rsidR="0064020A" w:rsidRPr="00C667B2" w:rsidRDefault="0064020A" w:rsidP="008E44F9">
            <w:pPr>
              <w:rPr>
                <w:sz w:val="20"/>
                <w:szCs w:val="20"/>
              </w:rPr>
            </w:pPr>
            <w:r w:rsidRPr="00C667B2">
              <w:rPr>
                <w:sz w:val="20"/>
                <w:szCs w:val="20"/>
              </w:rPr>
              <w:t>Departmental processes (briefs, correspondence)</w:t>
            </w:r>
          </w:p>
          <w:p w14:paraId="782AD329" w14:textId="77777777" w:rsidR="0064020A" w:rsidRPr="00C667B2" w:rsidRDefault="0064020A" w:rsidP="008E44F9">
            <w:pPr>
              <w:rPr>
                <w:sz w:val="20"/>
                <w:szCs w:val="20"/>
              </w:rPr>
            </w:pPr>
            <w:r w:rsidRPr="00C667B2">
              <w:rPr>
                <w:sz w:val="20"/>
                <w:szCs w:val="20"/>
              </w:rPr>
              <w:t>Direct and indirect engagement</w:t>
            </w:r>
          </w:p>
        </w:tc>
      </w:tr>
      <w:tr w:rsidR="00902097" w:rsidRPr="00C667B2" w14:paraId="2F44B6E1" w14:textId="77777777" w:rsidTr="0064020A">
        <w:tc>
          <w:tcPr>
            <w:tcW w:w="1843" w:type="dxa"/>
          </w:tcPr>
          <w:p w14:paraId="311B75F7" w14:textId="77777777" w:rsidR="00902097" w:rsidRPr="006B4B34" w:rsidRDefault="00902097">
            <w:pPr>
              <w:rPr>
                <w:sz w:val="20"/>
                <w:szCs w:val="20"/>
              </w:rPr>
            </w:pPr>
            <w:r w:rsidRPr="006B4B34">
              <w:rPr>
                <w:sz w:val="20"/>
                <w:szCs w:val="20"/>
              </w:rPr>
              <w:t xml:space="preserve">Secretary of the Department of Agriculture, Fisheries and Forestry </w:t>
            </w:r>
          </w:p>
        </w:tc>
        <w:tc>
          <w:tcPr>
            <w:tcW w:w="1701" w:type="dxa"/>
          </w:tcPr>
          <w:p w14:paraId="05895249" w14:textId="77777777" w:rsidR="00902097" w:rsidRPr="006B4B34" w:rsidRDefault="00902097">
            <w:pPr>
              <w:rPr>
                <w:sz w:val="20"/>
                <w:szCs w:val="20"/>
              </w:rPr>
            </w:pPr>
            <w:r w:rsidRPr="006B4B34">
              <w:rPr>
                <w:sz w:val="20"/>
                <w:szCs w:val="20"/>
              </w:rPr>
              <w:t xml:space="preserve">Adam Fennessy </w:t>
            </w:r>
          </w:p>
        </w:tc>
        <w:tc>
          <w:tcPr>
            <w:tcW w:w="1701" w:type="dxa"/>
          </w:tcPr>
          <w:p w14:paraId="00266DED" w14:textId="77777777" w:rsidR="00902097" w:rsidRPr="00C667B2" w:rsidRDefault="00902097">
            <w:pPr>
              <w:rPr>
                <w:sz w:val="20"/>
                <w:szCs w:val="20"/>
              </w:rPr>
            </w:pPr>
            <w:r w:rsidRPr="00C667B2">
              <w:rPr>
                <w:sz w:val="20"/>
                <w:szCs w:val="20"/>
              </w:rPr>
              <w:t>Departmental lead for the portfolio.</w:t>
            </w:r>
          </w:p>
          <w:p w14:paraId="5D53C170" w14:textId="77777777" w:rsidR="00902097" w:rsidRPr="00C667B2" w:rsidRDefault="00902097">
            <w:pPr>
              <w:rPr>
                <w:sz w:val="20"/>
                <w:szCs w:val="20"/>
              </w:rPr>
            </w:pPr>
            <w:r w:rsidRPr="00C667B2">
              <w:rPr>
                <w:sz w:val="20"/>
                <w:szCs w:val="20"/>
              </w:rPr>
              <w:t xml:space="preserve">Key decision maker in terms of dept engagement and approaches. Source of advice to the Minister. </w:t>
            </w:r>
          </w:p>
        </w:tc>
        <w:tc>
          <w:tcPr>
            <w:tcW w:w="1560" w:type="dxa"/>
          </w:tcPr>
          <w:p w14:paraId="7130C332" w14:textId="77777777" w:rsidR="00902097" w:rsidRPr="00C667B2" w:rsidRDefault="00902097">
            <w:pPr>
              <w:rPr>
                <w:sz w:val="20"/>
                <w:szCs w:val="20"/>
              </w:rPr>
            </w:pPr>
            <w:r w:rsidRPr="00C667B2">
              <w:rPr>
                <w:sz w:val="20"/>
                <w:szCs w:val="20"/>
              </w:rPr>
              <w:t>RDCs are aligned to the broader portfolio aims. The impact of RDCs work is clear and understood</w:t>
            </w:r>
          </w:p>
        </w:tc>
        <w:tc>
          <w:tcPr>
            <w:tcW w:w="2409" w:type="dxa"/>
          </w:tcPr>
          <w:p w14:paraId="76BD57C3" w14:textId="77777777" w:rsidR="00902097" w:rsidRPr="00C667B2" w:rsidRDefault="00902097">
            <w:pPr>
              <w:rPr>
                <w:sz w:val="20"/>
                <w:szCs w:val="20"/>
              </w:rPr>
            </w:pPr>
            <w:r w:rsidRPr="00C667B2">
              <w:rPr>
                <w:sz w:val="20"/>
                <w:szCs w:val="20"/>
              </w:rPr>
              <w:t>Deputy Secretaries</w:t>
            </w:r>
          </w:p>
          <w:p w14:paraId="58DCC4C1" w14:textId="77777777" w:rsidR="00902097" w:rsidRPr="00C667B2" w:rsidRDefault="00902097">
            <w:pPr>
              <w:rPr>
                <w:sz w:val="20"/>
                <w:szCs w:val="20"/>
              </w:rPr>
            </w:pPr>
            <w:r w:rsidRPr="00C667B2">
              <w:rPr>
                <w:sz w:val="20"/>
                <w:szCs w:val="20"/>
              </w:rPr>
              <w:t>First Assistant Secretaries</w:t>
            </w:r>
          </w:p>
          <w:p w14:paraId="28751621" w14:textId="77777777" w:rsidR="00902097" w:rsidRPr="00C667B2" w:rsidRDefault="00902097">
            <w:pPr>
              <w:rPr>
                <w:sz w:val="20"/>
                <w:szCs w:val="20"/>
              </w:rPr>
            </w:pPr>
            <w:r w:rsidRPr="00C667B2">
              <w:rPr>
                <w:sz w:val="20"/>
                <w:szCs w:val="20"/>
              </w:rPr>
              <w:t>Assistant Secretaries</w:t>
            </w:r>
          </w:p>
          <w:p w14:paraId="2EDEA6B0" w14:textId="77777777" w:rsidR="00902097" w:rsidRPr="00C667B2" w:rsidRDefault="00902097">
            <w:pPr>
              <w:rPr>
                <w:sz w:val="20"/>
                <w:szCs w:val="20"/>
              </w:rPr>
            </w:pPr>
            <w:r w:rsidRPr="00C667B2">
              <w:rPr>
                <w:sz w:val="20"/>
                <w:szCs w:val="20"/>
              </w:rPr>
              <w:t>Line areas</w:t>
            </w:r>
          </w:p>
          <w:p w14:paraId="2EAD7858" w14:textId="77777777" w:rsidR="00902097" w:rsidRPr="00C667B2" w:rsidRDefault="00902097">
            <w:pPr>
              <w:rPr>
                <w:sz w:val="20"/>
                <w:szCs w:val="20"/>
              </w:rPr>
            </w:pPr>
            <w:r w:rsidRPr="00C667B2">
              <w:rPr>
                <w:sz w:val="20"/>
                <w:szCs w:val="20"/>
              </w:rPr>
              <w:t>RDCs / Council</w:t>
            </w:r>
          </w:p>
          <w:p w14:paraId="4FEE899B" w14:textId="77777777" w:rsidR="00902097" w:rsidRPr="00C667B2" w:rsidRDefault="00902097">
            <w:pPr>
              <w:rPr>
                <w:sz w:val="20"/>
                <w:szCs w:val="20"/>
              </w:rPr>
            </w:pPr>
            <w:r w:rsidRPr="00C667B2">
              <w:rPr>
                <w:sz w:val="20"/>
                <w:szCs w:val="20"/>
              </w:rPr>
              <w:t>APS colleagues</w:t>
            </w:r>
          </w:p>
          <w:p w14:paraId="0D21DDA6" w14:textId="77777777" w:rsidR="00902097" w:rsidRPr="00C667B2" w:rsidRDefault="00902097">
            <w:pPr>
              <w:rPr>
                <w:sz w:val="20"/>
                <w:szCs w:val="20"/>
              </w:rPr>
            </w:pPr>
            <w:r w:rsidRPr="00C667B2">
              <w:rPr>
                <w:sz w:val="20"/>
                <w:szCs w:val="20"/>
              </w:rPr>
              <w:t>AgSOC colleagues</w:t>
            </w:r>
          </w:p>
        </w:tc>
        <w:tc>
          <w:tcPr>
            <w:tcW w:w="2835" w:type="dxa"/>
          </w:tcPr>
          <w:p w14:paraId="6740D0B7" w14:textId="77777777" w:rsidR="00902097" w:rsidRPr="00C667B2" w:rsidRDefault="00902097">
            <w:pPr>
              <w:rPr>
                <w:sz w:val="20"/>
                <w:szCs w:val="20"/>
              </w:rPr>
            </w:pPr>
            <w:r w:rsidRPr="00C667B2">
              <w:rPr>
                <w:sz w:val="20"/>
                <w:szCs w:val="20"/>
              </w:rPr>
              <w:t>Briefings</w:t>
            </w:r>
          </w:p>
          <w:p w14:paraId="3C93EB26" w14:textId="77777777" w:rsidR="00902097" w:rsidRPr="00C667B2" w:rsidRDefault="00902097">
            <w:pPr>
              <w:rPr>
                <w:sz w:val="20"/>
                <w:szCs w:val="20"/>
              </w:rPr>
            </w:pPr>
            <w:r w:rsidRPr="00C667B2">
              <w:rPr>
                <w:sz w:val="20"/>
                <w:szCs w:val="20"/>
              </w:rPr>
              <w:t>Parliamentary processes (QoNs, inquiries, QTBs, Estimates)</w:t>
            </w:r>
          </w:p>
          <w:p w14:paraId="11B0F583" w14:textId="77777777" w:rsidR="00902097" w:rsidRPr="00C667B2" w:rsidRDefault="00902097">
            <w:pPr>
              <w:rPr>
                <w:sz w:val="20"/>
                <w:szCs w:val="20"/>
              </w:rPr>
            </w:pPr>
            <w:r w:rsidRPr="00C667B2">
              <w:rPr>
                <w:sz w:val="20"/>
                <w:szCs w:val="20"/>
              </w:rPr>
              <w:t>Departmental processes (briefs, correspondence)</w:t>
            </w:r>
          </w:p>
          <w:p w14:paraId="4CC75ADC" w14:textId="77777777" w:rsidR="00902097" w:rsidRPr="00C667B2" w:rsidRDefault="00902097">
            <w:pPr>
              <w:rPr>
                <w:sz w:val="20"/>
                <w:szCs w:val="20"/>
              </w:rPr>
            </w:pPr>
            <w:r w:rsidRPr="00C667B2">
              <w:rPr>
                <w:sz w:val="20"/>
                <w:szCs w:val="20"/>
              </w:rPr>
              <w:t>Council meetings</w:t>
            </w:r>
          </w:p>
          <w:p w14:paraId="16F59393" w14:textId="77777777" w:rsidR="00902097" w:rsidRPr="00C667B2" w:rsidRDefault="00902097">
            <w:pPr>
              <w:rPr>
                <w:sz w:val="20"/>
                <w:szCs w:val="20"/>
              </w:rPr>
            </w:pPr>
            <w:r w:rsidRPr="00C667B2">
              <w:rPr>
                <w:sz w:val="20"/>
                <w:szCs w:val="20"/>
              </w:rPr>
              <w:t>Media – incoming</w:t>
            </w:r>
          </w:p>
        </w:tc>
      </w:tr>
      <w:tr w:rsidR="00902097" w:rsidRPr="00C667B2" w14:paraId="6E627797" w14:textId="77777777" w:rsidTr="0064020A">
        <w:tc>
          <w:tcPr>
            <w:tcW w:w="1843" w:type="dxa"/>
          </w:tcPr>
          <w:p w14:paraId="7A28B02C" w14:textId="2926EA13" w:rsidR="00902097" w:rsidRPr="006B4B34" w:rsidRDefault="00902097">
            <w:pPr>
              <w:rPr>
                <w:sz w:val="20"/>
                <w:szCs w:val="20"/>
              </w:rPr>
            </w:pPr>
            <w:r w:rsidRPr="006B4B34">
              <w:rPr>
                <w:sz w:val="20"/>
                <w:szCs w:val="20"/>
              </w:rPr>
              <w:t xml:space="preserve">Deputy Secretaries </w:t>
            </w:r>
          </w:p>
        </w:tc>
        <w:tc>
          <w:tcPr>
            <w:tcW w:w="1701" w:type="dxa"/>
          </w:tcPr>
          <w:p w14:paraId="0BB42B4B" w14:textId="03A68170" w:rsidR="00902097" w:rsidRPr="006B4B34" w:rsidRDefault="00902097">
            <w:pPr>
              <w:rPr>
                <w:sz w:val="20"/>
                <w:szCs w:val="20"/>
              </w:rPr>
            </w:pPr>
            <w:r w:rsidRPr="006B4B34">
              <w:rPr>
                <w:sz w:val="20"/>
                <w:szCs w:val="20"/>
              </w:rPr>
              <w:t>Matt Lowe (Dep Sec for AFF Policy)</w:t>
            </w:r>
          </w:p>
          <w:p w14:paraId="60DB7E66" w14:textId="301A6970" w:rsidR="00902097" w:rsidRPr="006B4B34" w:rsidRDefault="00902097">
            <w:pPr>
              <w:rPr>
                <w:sz w:val="20"/>
                <w:szCs w:val="20"/>
              </w:rPr>
            </w:pPr>
            <w:r w:rsidRPr="006B4B34">
              <w:rPr>
                <w:sz w:val="20"/>
                <w:szCs w:val="20"/>
              </w:rPr>
              <w:t>Tina Hutchinson (Ag Trade and Regulations) Justine Saunders (Biosec, Ops and Compliance)</w:t>
            </w:r>
          </w:p>
          <w:p w14:paraId="74B9C8A7" w14:textId="43B82FE2" w:rsidR="00902097" w:rsidRPr="006B4B34" w:rsidRDefault="00902097">
            <w:pPr>
              <w:rPr>
                <w:sz w:val="20"/>
                <w:szCs w:val="20"/>
              </w:rPr>
            </w:pPr>
            <w:r w:rsidRPr="006B4B34">
              <w:rPr>
                <w:sz w:val="20"/>
                <w:szCs w:val="20"/>
              </w:rPr>
              <w:t>Tess Bishop (COO CSO)</w:t>
            </w:r>
          </w:p>
          <w:p w14:paraId="05FB9168" w14:textId="2AA0E261" w:rsidR="00902097" w:rsidRPr="006B4B34" w:rsidRDefault="00902097">
            <w:pPr>
              <w:rPr>
                <w:sz w:val="20"/>
                <w:szCs w:val="20"/>
              </w:rPr>
            </w:pPr>
          </w:p>
        </w:tc>
        <w:tc>
          <w:tcPr>
            <w:tcW w:w="1701" w:type="dxa"/>
          </w:tcPr>
          <w:p w14:paraId="1F05FB5B" w14:textId="77777777" w:rsidR="00902097" w:rsidRPr="00C667B2" w:rsidRDefault="00902097">
            <w:pPr>
              <w:rPr>
                <w:sz w:val="20"/>
                <w:szCs w:val="20"/>
              </w:rPr>
            </w:pPr>
            <w:r w:rsidRPr="00C667B2">
              <w:rPr>
                <w:sz w:val="20"/>
                <w:szCs w:val="20"/>
              </w:rPr>
              <w:t>Departmental lead for the portfolio.</w:t>
            </w:r>
          </w:p>
          <w:p w14:paraId="43888ADB" w14:textId="77777777" w:rsidR="00902097" w:rsidRPr="00C667B2" w:rsidRDefault="00902097">
            <w:pPr>
              <w:rPr>
                <w:sz w:val="20"/>
                <w:szCs w:val="20"/>
              </w:rPr>
            </w:pPr>
            <w:r w:rsidRPr="00C667B2">
              <w:rPr>
                <w:sz w:val="20"/>
                <w:szCs w:val="20"/>
              </w:rPr>
              <w:t xml:space="preserve">Key decision maker in terms of dept engagement and approaches. Source of advice to the Minister. </w:t>
            </w:r>
          </w:p>
        </w:tc>
        <w:tc>
          <w:tcPr>
            <w:tcW w:w="1560" w:type="dxa"/>
          </w:tcPr>
          <w:p w14:paraId="6843C142" w14:textId="77777777" w:rsidR="00902097" w:rsidRPr="00C667B2" w:rsidRDefault="00902097">
            <w:pPr>
              <w:rPr>
                <w:sz w:val="20"/>
                <w:szCs w:val="20"/>
              </w:rPr>
            </w:pPr>
            <w:r w:rsidRPr="00C667B2">
              <w:rPr>
                <w:sz w:val="20"/>
                <w:szCs w:val="20"/>
              </w:rPr>
              <w:t>RDCs are aligned to the broader portfolio aims. The impact of RDCs work is clear and understood</w:t>
            </w:r>
          </w:p>
        </w:tc>
        <w:tc>
          <w:tcPr>
            <w:tcW w:w="2409" w:type="dxa"/>
          </w:tcPr>
          <w:p w14:paraId="0A59E8AE" w14:textId="77777777" w:rsidR="00902097" w:rsidRPr="00C667B2" w:rsidRDefault="00902097">
            <w:pPr>
              <w:rPr>
                <w:sz w:val="20"/>
                <w:szCs w:val="20"/>
              </w:rPr>
            </w:pPr>
            <w:r w:rsidRPr="00C667B2">
              <w:rPr>
                <w:sz w:val="20"/>
                <w:szCs w:val="20"/>
              </w:rPr>
              <w:t>Deputy Secretaries</w:t>
            </w:r>
          </w:p>
          <w:p w14:paraId="36401DAC" w14:textId="77777777" w:rsidR="00902097" w:rsidRPr="00C667B2" w:rsidRDefault="00902097">
            <w:pPr>
              <w:rPr>
                <w:sz w:val="20"/>
                <w:szCs w:val="20"/>
              </w:rPr>
            </w:pPr>
            <w:r w:rsidRPr="00C667B2">
              <w:rPr>
                <w:sz w:val="20"/>
                <w:szCs w:val="20"/>
              </w:rPr>
              <w:t>First Assistant Secretaries</w:t>
            </w:r>
          </w:p>
          <w:p w14:paraId="54BF2DBE" w14:textId="77777777" w:rsidR="00902097" w:rsidRPr="00C667B2" w:rsidRDefault="00902097">
            <w:pPr>
              <w:rPr>
                <w:sz w:val="20"/>
                <w:szCs w:val="20"/>
              </w:rPr>
            </w:pPr>
            <w:r w:rsidRPr="00C667B2">
              <w:rPr>
                <w:sz w:val="20"/>
                <w:szCs w:val="20"/>
              </w:rPr>
              <w:t>Assistant Secretaries</w:t>
            </w:r>
          </w:p>
          <w:p w14:paraId="454ABF32" w14:textId="77777777" w:rsidR="00902097" w:rsidRPr="00C667B2" w:rsidRDefault="00902097">
            <w:pPr>
              <w:rPr>
                <w:sz w:val="20"/>
                <w:szCs w:val="20"/>
              </w:rPr>
            </w:pPr>
            <w:r w:rsidRPr="00C667B2">
              <w:rPr>
                <w:sz w:val="20"/>
                <w:szCs w:val="20"/>
              </w:rPr>
              <w:t>Line areas</w:t>
            </w:r>
          </w:p>
          <w:p w14:paraId="5F95AD97" w14:textId="77777777" w:rsidR="00902097" w:rsidRPr="00C667B2" w:rsidRDefault="00902097">
            <w:pPr>
              <w:rPr>
                <w:sz w:val="20"/>
                <w:szCs w:val="20"/>
              </w:rPr>
            </w:pPr>
            <w:r w:rsidRPr="00C667B2">
              <w:rPr>
                <w:sz w:val="20"/>
                <w:szCs w:val="20"/>
              </w:rPr>
              <w:t>RDCs / Council</w:t>
            </w:r>
          </w:p>
          <w:p w14:paraId="0C315E30" w14:textId="77777777" w:rsidR="00902097" w:rsidRPr="00C667B2" w:rsidRDefault="00902097">
            <w:pPr>
              <w:rPr>
                <w:sz w:val="20"/>
                <w:szCs w:val="20"/>
              </w:rPr>
            </w:pPr>
            <w:r w:rsidRPr="00C667B2">
              <w:rPr>
                <w:sz w:val="20"/>
                <w:szCs w:val="20"/>
              </w:rPr>
              <w:t>APS colleagues</w:t>
            </w:r>
          </w:p>
          <w:p w14:paraId="5CF7133B" w14:textId="77777777" w:rsidR="00902097" w:rsidRPr="00C667B2" w:rsidRDefault="00902097">
            <w:pPr>
              <w:rPr>
                <w:sz w:val="20"/>
                <w:szCs w:val="20"/>
              </w:rPr>
            </w:pPr>
            <w:r w:rsidRPr="00C667B2">
              <w:rPr>
                <w:sz w:val="20"/>
                <w:szCs w:val="20"/>
              </w:rPr>
              <w:t>AgSOC colleagues</w:t>
            </w:r>
          </w:p>
        </w:tc>
        <w:tc>
          <w:tcPr>
            <w:tcW w:w="2835" w:type="dxa"/>
          </w:tcPr>
          <w:p w14:paraId="0DA99654" w14:textId="77777777" w:rsidR="00902097" w:rsidRPr="00C667B2" w:rsidRDefault="00902097">
            <w:pPr>
              <w:rPr>
                <w:sz w:val="20"/>
                <w:szCs w:val="20"/>
              </w:rPr>
            </w:pPr>
            <w:r w:rsidRPr="00C667B2">
              <w:rPr>
                <w:sz w:val="20"/>
                <w:szCs w:val="20"/>
              </w:rPr>
              <w:t>Briefings</w:t>
            </w:r>
          </w:p>
          <w:p w14:paraId="3DF8CA77" w14:textId="77777777" w:rsidR="00902097" w:rsidRPr="00C667B2" w:rsidRDefault="00902097">
            <w:pPr>
              <w:rPr>
                <w:sz w:val="20"/>
                <w:szCs w:val="20"/>
              </w:rPr>
            </w:pPr>
            <w:r w:rsidRPr="00C667B2">
              <w:rPr>
                <w:sz w:val="20"/>
                <w:szCs w:val="20"/>
              </w:rPr>
              <w:t>Parliamentary processes (QoNs, inquiries, QTBs, Estimates)</w:t>
            </w:r>
          </w:p>
          <w:p w14:paraId="0C7C08AE" w14:textId="77777777" w:rsidR="00902097" w:rsidRPr="00C667B2" w:rsidRDefault="00902097">
            <w:pPr>
              <w:rPr>
                <w:sz w:val="20"/>
                <w:szCs w:val="20"/>
              </w:rPr>
            </w:pPr>
            <w:r w:rsidRPr="00C667B2">
              <w:rPr>
                <w:sz w:val="20"/>
                <w:szCs w:val="20"/>
              </w:rPr>
              <w:t>Departmental processes (briefs, correspondence)</w:t>
            </w:r>
          </w:p>
          <w:p w14:paraId="0D65BFB3" w14:textId="77777777" w:rsidR="00902097" w:rsidRPr="00C667B2" w:rsidRDefault="00902097">
            <w:pPr>
              <w:rPr>
                <w:sz w:val="20"/>
                <w:szCs w:val="20"/>
              </w:rPr>
            </w:pPr>
            <w:r w:rsidRPr="00C667B2">
              <w:rPr>
                <w:sz w:val="20"/>
                <w:szCs w:val="20"/>
              </w:rPr>
              <w:t>Council meetings</w:t>
            </w:r>
          </w:p>
          <w:p w14:paraId="675A1047" w14:textId="77777777" w:rsidR="00902097" w:rsidRDefault="00902097">
            <w:pPr>
              <w:rPr>
                <w:sz w:val="20"/>
                <w:szCs w:val="20"/>
              </w:rPr>
            </w:pPr>
            <w:r w:rsidRPr="00C667B2">
              <w:rPr>
                <w:sz w:val="20"/>
                <w:szCs w:val="20"/>
              </w:rPr>
              <w:t>Media – incoming</w:t>
            </w:r>
          </w:p>
          <w:p w14:paraId="1377EA41" w14:textId="0DCF5ABA" w:rsidR="0064020A" w:rsidRPr="00C667B2" w:rsidRDefault="0064020A">
            <w:pPr>
              <w:rPr>
                <w:sz w:val="20"/>
                <w:szCs w:val="20"/>
              </w:rPr>
            </w:pPr>
          </w:p>
        </w:tc>
      </w:tr>
      <w:tr w:rsidR="00902097" w:rsidRPr="00C667B2" w14:paraId="172E9BFB" w14:textId="77777777" w:rsidTr="0064020A">
        <w:tc>
          <w:tcPr>
            <w:tcW w:w="1843" w:type="dxa"/>
          </w:tcPr>
          <w:p w14:paraId="0F898231" w14:textId="77777777" w:rsidR="00902097" w:rsidRPr="006B4B34" w:rsidRDefault="00902097">
            <w:pPr>
              <w:rPr>
                <w:sz w:val="20"/>
                <w:szCs w:val="20"/>
              </w:rPr>
            </w:pPr>
            <w:r w:rsidRPr="006B4B34">
              <w:rPr>
                <w:sz w:val="20"/>
                <w:szCs w:val="20"/>
              </w:rPr>
              <w:t>Ag Policy</w:t>
            </w:r>
          </w:p>
          <w:p w14:paraId="78B1D792" w14:textId="77777777" w:rsidR="00902097" w:rsidRPr="006B4B34" w:rsidRDefault="00902097" w:rsidP="008351F1">
            <w:pPr>
              <w:rPr>
                <w:sz w:val="20"/>
                <w:szCs w:val="20"/>
              </w:rPr>
            </w:pPr>
            <w:r w:rsidRPr="006B4B34">
              <w:rPr>
                <w:sz w:val="20"/>
                <w:szCs w:val="20"/>
              </w:rPr>
              <w:t>Food policy</w:t>
            </w:r>
          </w:p>
          <w:p w14:paraId="5292BC96" w14:textId="19F01E35" w:rsidR="00902097" w:rsidRPr="006B4B34" w:rsidRDefault="00902097" w:rsidP="008351F1">
            <w:pPr>
              <w:rPr>
                <w:sz w:val="20"/>
                <w:szCs w:val="20"/>
              </w:rPr>
            </w:pPr>
            <w:r w:rsidRPr="006B4B34">
              <w:rPr>
                <w:sz w:val="20"/>
                <w:szCs w:val="20"/>
              </w:rPr>
              <w:t xml:space="preserve">Levies, Innovation and Livestock </w:t>
            </w:r>
          </w:p>
        </w:tc>
        <w:tc>
          <w:tcPr>
            <w:tcW w:w="1701" w:type="dxa"/>
          </w:tcPr>
          <w:p w14:paraId="53845D50" w14:textId="77777777" w:rsidR="00902097" w:rsidRPr="006B4B34" w:rsidRDefault="00902097" w:rsidP="008351F1">
            <w:pPr>
              <w:rPr>
                <w:sz w:val="20"/>
                <w:szCs w:val="20"/>
              </w:rPr>
            </w:pPr>
            <w:r w:rsidRPr="006B4B34">
              <w:rPr>
                <w:sz w:val="20"/>
                <w:szCs w:val="20"/>
              </w:rPr>
              <w:t>Joanna Stanion</w:t>
            </w:r>
          </w:p>
          <w:p w14:paraId="598C7EAA" w14:textId="77777777" w:rsidR="00902097" w:rsidRPr="006B4B34" w:rsidRDefault="00902097">
            <w:pPr>
              <w:rPr>
                <w:sz w:val="20"/>
                <w:szCs w:val="20"/>
              </w:rPr>
            </w:pPr>
            <w:r w:rsidRPr="006B4B34">
              <w:rPr>
                <w:sz w:val="20"/>
                <w:szCs w:val="20"/>
              </w:rPr>
              <w:t>Paul Denny</w:t>
            </w:r>
          </w:p>
          <w:p w14:paraId="6259B383" w14:textId="19A7DEC6" w:rsidR="00902097" w:rsidRPr="006B4B34" w:rsidRDefault="00902097">
            <w:pPr>
              <w:rPr>
                <w:sz w:val="20"/>
                <w:szCs w:val="20"/>
              </w:rPr>
            </w:pPr>
            <w:r w:rsidRPr="006B4B34">
              <w:rPr>
                <w:sz w:val="20"/>
                <w:szCs w:val="20"/>
              </w:rPr>
              <w:t>Alison Curran</w:t>
            </w:r>
          </w:p>
        </w:tc>
        <w:tc>
          <w:tcPr>
            <w:tcW w:w="1701" w:type="dxa"/>
          </w:tcPr>
          <w:p w14:paraId="26488D72" w14:textId="77777777" w:rsidR="00902097" w:rsidRPr="00C667B2" w:rsidRDefault="00902097">
            <w:pPr>
              <w:rPr>
                <w:sz w:val="20"/>
                <w:szCs w:val="20"/>
              </w:rPr>
            </w:pPr>
            <w:r w:rsidRPr="00C667B2">
              <w:rPr>
                <w:sz w:val="20"/>
                <w:szCs w:val="20"/>
              </w:rPr>
              <w:t>Departmental lead for the portfolio.</w:t>
            </w:r>
          </w:p>
          <w:p w14:paraId="4867149F" w14:textId="77777777" w:rsidR="00902097" w:rsidRPr="00C667B2" w:rsidRDefault="00902097">
            <w:pPr>
              <w:rPr>
                <w:sz w:val="20"/>
                <w:szCs w:val="20"/>
              </w:rPr>
            </w:pPr>
            <w:r w:rsidRPr="00C667B2">
              <w:rPr>
                <w:sz w:val="20"/>
                <w:szCs w:val="20"/>
              </w:rPr>
              <w:t xml:space="preserve">Key decision maker in terms of dept engagement and approaches. Source of advice to the Minister. </w:t>
            </w:r>
          </w:p>
        </w:tc>
        <w:tc>
          <w:tcPr>
            <w:tcW w:w="1560" w:type="dxa"/>
          </w:tcPr>
          <w:p w14:paraId="358EF92B" w14:textId="77777777" w:rsidR="00902097" w:rsidRPr="00C667B2" w:rsidRDefault="00902097">
            <w:pPr>
              <w:rPr>
                <w:sz w:val="20"/>
                <w:szCs w:val="20"/>
              </w:rPr>
            </w:pPr>
            <w:r w:rsidRPr="00C667B2">
              <w:rPr>
                <w:sz w:val="20"/>
                <w:szCs w:val="20"/>
              </w:rPr>
              <w:t>RDCs are aligned to the broader portfolio aims. The impact of RDCs work is clear and understood</w:t>
            </w:r>
          </w:p>
        </w:tc>
        <w:tc>
          <w:tcPr>
            <w:tcW w:w="2409" w:type="dxa"/>
          </w:tcPr>
          <w:p w14:paraId="48F9C58E" w14:textId="77777777" w:rsidR="00902097" w:rsidRPr="00C667B2" w:rsidRDefault="00902097">
            <w:pPr>
              <w:rPr>
                <w:sz w:val="20"/>
                <w:szCs w:val="20"/>
              </w:rPr>
            </w:pPr>
            <w:r w:rsidRPr="00C667B2">
              <w:rPr>
                <w:sz w:val="20"/>
                <w:szCs w:val="20"/>
              </w:rPr>
              <w:t>Deputy Secretaries</w:t>
            </w:r>
          </w:p>
          <w:p w14:paraId="311CB7BF" w14:textId="77777777" w:rsidR="00902097" w:rsidRPr="00C667B2" w:rsidRDefault="00902097">
            <w:pPr>
              <w:rPr>
                <w:sz w:val="20"/>
                <w:szCs w:val="20"/>
              </w:rPr>
            </w:pPr>
            <w:r w:rsidRPr="00C667B2">
              <w:rPr>
                <w:sz w:val="20"/>
                <w:szCs w:val="20"/>
              </w:rPr>
              <w:t>First Assistant Secretaries</w:t>
            </w:r>
          </w:p>
          <w:p w14:paraId="35C1E817" w14:textId="77777777" w:rsidR="00902097" w:rsidRPr="00C667B2" w:rsidRDefault="00902097">
            <w:pPr>
              <w:rPr>
                <w:sz w:val="20"/>
                <w:szCs w:val="20"/>
              </w:rPr>
            </w:pPr>
            <w:r w:rsidRPr="00C667B2">
              <w:rPr>
                <w:sz w:val="20"/>
                <w:szCs w:val="20"/>
              </w:rPr>
              <w:t>Assistant Secretaries</w:t>
            </w:r>
          </w:p>
          <w:p w14:paraId="6AF17BB1" w14:textId="77777777" w:rsidR="00902097" w:rsidRPr="00C667B2" w:rsidRDefault="00902097">
            <w:pPr>
              <w:rPr>
                <w:sz w:val="20"/>
                <w:szCs w:val="20"/>
              </w:rPr>
            </w:pPr>
            <w:r w:rsidRPr="00C667B2">
              <w:rPr>
                <w:sz w:val="20"/>
                <w:szCs w:val="20"/>
              </w:rPr>
              <w:t>Line areas</w:t>
            </w:r>
          </w:p>
          <w:p w14:paraId="4D231E20" w14:textId="77777777" w:rsidR="00902097" w:rsidRPr="00C667B2" w:rsidRDefault="00902097">
            <w:pPr>
              <w:rPr>
                <w:sz w:val="20"/>
                <w:szCs w:val="20"/>
              </w:rPr>
            </w:pPr>
            <w:r w:rsidRPr="00C667B2">
              <w:rPr>
                <w:sz w:val="20"/>
                <w:szCs w:val="20"/>
              </w:rPr>
              <w:t>RDCs / Council</w:t>
            </w:r>
          </w:p>
          <w:p w14:paraId="57478FF5" w14:textId="77777777" w:rsidR="00902097" w:rsidRPr="00C667B2" w:rsidRDefault="00902097">
            <w:pPr>
              <w:rPr>
                <w:sz w:val="20"/>
                <w:szCs w:val="20"/>
              </w:rPr>
            </w:pPr>
            <w:r w:rsidRPr="00C667B2">
              <w:rPr>
                <w:sz w:val="20"/>
                <w:szCs w:val="20"/>
              </w:rPr>
              <w:t>APS colleagues</w:t>
            </w:r>
          </w:p>
          <w:p w14:paraId="6F6A9E24" w14:textId="77777777" w:rsidR="00902097" w:rsidRPr="00C667B2" w:rsidRDefault="00902097">
            <w:pPr>
              <w:rPr>
                <w:sz w:val="20"/>
                <w:szCs w:val="20"/>
              </w:rPr>
            </w:pPr>
            <w:r w:rsidRPr="00C667B2">
              <w:rPr>
                <w:sz w:val="20"/>
                <w:szCs w:val="20"/>
              </w:rPr>
              <w:t>AgSOC colleagues</w:t>
            </w:r>
          </w:p>
        </w:tc>
        <w:tc>
          <w:tcPr>
            <w:tcW w:w="2835" w:type="dxa"/>
          </w:tcPr>
          <w:p w14:paraId="6841B9BF" w14:textId="77777777" w:rsidR="00902097" w:rsidRPr="00C667B2" w:rsidRDefault="00902097">
            <w:pPr>
              <w:rPr>
                <w:sz w:val="20"/>
                <w:szCs w:val="20"/>
              </w:rPr>
            </w:pPr>
            <w:r w:rsidRPr="00C667B2">
              <w:rPr>
                <w:sz w:val="20"/>
                <w:szCs w:val="20"/>
              </w:rPr>
              <w:t>Briefings</w:t>
            </w:r>
          </w:p>
          <w:p w14:paraId="3C7FB92A" w14:textId="77777777" w:rsidR="00902097" w:rsidRPr="00C667B2" w:rsidRDefault="00902097">
            <w:pPr>
              <w:rPr>
                <w:sz w:val="20"/>
                <w:szCs w:val="20"/>
              </w:rPr>
            </w:pPr>
            <w:r w:rsidRPr="00C667B2">
              <w:rPr>
                <w:sz w:val="20"/>
                <w:szCs w:val="20"/>
              </w:rPr>
              <w:t>Parliamentary processes (QoNs, inquiries, QTBs, Estimates)</w:t>
            </w:r>
          </w:p>
          <w:p w14:paraId="0AEF65DD" w14:textId="77777777" w:rsidR="00902097" w:rsidRPr="00C667B2" w:rsidRDefault="00902097">
            <w:pPr>
              <w:rPr>
                <w:sz w:val="20"/>
                <w:szCs w:val="20"/>
              </w:rPr>
            </w:pPr>
            <w:r w:rsidRPr="00C667B2">
              <w:rPr>
                <w:sz w:val="20"/>
                <w:szCs w:val="20"/>
              </w:rPr>
              <w:t>Departmental processes (briefs, correspondence)</w:t>
            </w:r>
          </w:p>
          <w:p w14:paraId="1D238E74" w14:textId="77777777" w:rsidR="00902097" w:rsidRPr="00C667B2" w:rsidRDefault="00902097">
            <w:pPr>
              <w:rPr>
                <w:sz w:val="20"/>
                <w:szCs w:val="20"/>
              </w:rPr>
            </w:pPr>
            <w:r w:rsidRPr="00C667B2">
              <w:rPr>
                <w:sz w:val="20"/>
                <w:szCs w:val="20"/>
              </w:rPr>
              <w:t>Council meetings</w:t>
            </w:r>
          </w:p>
          <w:p w14:paraId="781CB055" w14:textId="77777777" w:rsidR="00902097" w:rsidRPr="00C667B2" w:rsidRDefault="00902097">
            <w:pPr>
              <w:rPr>
                <w:sz w:val="20"/>
                <w:szCs w:val="20"/>
              </w:rPr>
            </w:pPr>
            <w:r w:rsidRPr="00C667B2">
              <w:rPr>
                <w:sz w:val="20"/>
                <w:szCs w:val="20"/>
              </w:rPr>
              <w:t>Media – incoming</w:t>
            </w:r>
          </w:p>
        </w:tc>
      </w:tr>
      <w:tr w:rsidR="00902097" w:rsidRPr="00C667B2" w14:paraId="69EF4B8F" w14:textId="77777777" w:rsidTr="0064020A">
        <w:tc>
          <w:tcPr>
            <w:tcW w:w="1843" w:type="dxa"/>
          </w:tcPr>
          <w:p w14:paraId="3D1F5D42" w14:textId="77777777" w:rsidR="00902097" w:rsidRPr="006B4B34" w:rsidRDefault="00902097" w:rsidP="00525E83">
            <w:pPr>
              <w:rPr>
                <w:sz w:val="20"/>
                <w:szCs w:val="20"/>
              </w:rPr>
            </w:pPr>
            <w:r w:rsidRPr="006B4B34">
              <w:rPr>
                <w:sz w:val="20"/>
                <w:szCs w:val="20"/>
              </w:rPr>
              <w:t>Agvet chem, Fisheries and Forestry</w:t>
            </w:r>
          </w:p>
          <w:p w14:paraId="46845D5C" w14:textId="77777777" w:rsidR="00902097" w:rsidRDefault="00902097" w:rsidP="00DE62FA">
            <w:pPr>
              <w:rPr>
                <w:sz w:val="20"/>
                <w:szCs w:val="20"/>
              </w:rPr>
            </w:pPr>
            <w:r w:rsidRPr="006B4B34">
              <w:rPr>
                <w:sz w:val="20"/>
                <w:szCs w:val="20"/>
              </w:rPr>
              <w:t>Fisheries</w:t>
            </w:r>
          </w:p>
          <w:p w14:paraId="6DADD26D" w14:textId="77777777" w:rsidR="00B9606D" w:rsidRDefault="00B9606D" w:rsidP="00DE62FA">
            <w:pPr>
              <w:rPr>
                <w:sz w:val="20"/>
                <w:szCs w:val="20"/>
              </w:rPr>
            </w:pPr>
          </w:p>
          <w:p w14:paraId="3D89EB52" w14:textId="240C7496" w:rsidR="00B9606D" w:rsidRPr="006B4B34" w:rsidRDefault="00B9606D" w:rsidP="00DE62FA">
            <w:pPr>
              <w:rPr>
                <w:sz w:val="20"/>
                <w:szCs w:val="20"/>
              </w:rPr>
            </w:pPr>
            <w:r>
              <w:rPr>
                <w:sz w:val="20"/>
                <w:szCs w:val="20"/>
              </w:rPr>
              <w:t>Trade and Biosecurity Groups</w:t>
            </w:r>
          </w:p>
        </w:tc>
        <w:tc>
          <w:tcPr>
            <w:tcW w:w="1701" w:type="dxa"/>
          </w:tcPr>
          <w:p w14:paraId="7642633B" w14:textId="77777777" w:rsidR="00902097" w:rsidRPr="006B4B34" w:rsidRDefault="00902097" w:rsidP="00525E83">
            <w:pPr>
              <w:rPr>
                <w:sz w:val="20"/>
                <w:szCs w:val="20"/>
              </w:rPr>
            </w:pPr>
            <w:r w:rsidRPr="006B4B34">
              <w:rPr>
                <w:sz w:val="20"/>
                <w:szCs w:val="20"/>
              </w:rPr>
              <w:t>SJ McCormack</w:t>
            </w:r>
          </w:p>
          <w:p w14:paraId="1DC8C2DE" w14:textId="77777777" w:rsidR="00902097" w:rsidRPr="006B4B34" w:rsidRDefault="00902097" w:rsidP="00525E83">
            <w:pPr>
              <w:rPr>
                <w:sz w:val="20"/>
                <w:szCs w:val="20"/>
              </w:rPr>
            </w:pPr>
          </w:p>
          <w:p w14:paraId="7D811F53" w14:textId="77777777" w:rsidR="00902097" w:rsidRPr="006B4B34" w:rsidRDefault="00902097" w:rsidP="00525E83">
            <w:pPr>
              <w:rPr>
                <w:sz w:val="20"/>
                <w:szCs w:val="20"/>
              </w:rPr>
            </w:pPr>
          </w:p>
          <w:p w14:paraId="71723DC0" w14:textId="77777777" w:rsidR="00902097" w:rsidRDefault="00902097" w:rsidP="00525E83">
            <w:pPr>
              <w:rPr>
                <w:sz w:val="20"/>
                <w:szCs w:val="20"/>
              </w:rPr>
            </w:pPr>
            <w:r w:rsidRPr="006B4B34">
              <w:rPr>
                <w:sz w:val="20"/>
                <w:szCs w:val="20"/>
              </w:rPr>
              <w:t>George Day</w:t>
            </w:r>
          </w:p>
          <w:p w14:paraId="0D0C71C6" w14:textId="77777777" w:rsidR="00B9606D" w:rsidRDefault="00B9606D" w:rsidP="00525E83">
            <w:pPr>
              <w:rPr>
                <w:sz w:val="20"/>
                <w:szCs w:val="20"/>
              </w:rPr>
            </w:pPr>
          </w:p>
          <w:p w14:paraId="4070006B" w14:textId="77777777" w:rsidR="00B9606D" w:rsidRDefault="00B9606D" w:rsidP="00525E83">
            <w:pPr>
              <w:rPr>
                <w:sz w:val="20"/>
                <w:szCs w:val="20"/>
              </w:rPr>
            </w:pPr>
            <w:r>
              <w:rPr>
                <w:sz w:val="20"/>
                <w:szCs w:val="20"/>
              </w:rPr>
              <w:t>Tina Hutchinson</w:t>
            </w:r>
          </w:p>
          <w:p w14:paraId="0A4EC380" w14:textId="77777777" w:rsidR="00B9606D" w:rsidRDefault="00B9606D" w:rsidP="00525E83">
            <w:pPr>
              <w:rPr>
                <w:sz w:val="20"/>
                <w:szCs w:val="20"/>
              </w:rPr>
            </w:pPr>
          </w:p>
          <w:p w14:paraId="1CCE2B04" w14:textId="4F0DF66F" w:rsidR="00B9606D" w:rsidRPr="006B4B34" w:rsidRDefault="00015F36" w:rsidP="00525E83">
            <w:pPr>
              <w:rPr>
                <w:sz w:val="20"/>
                <w:szCs w:val="20"/>
              </w:rPr>
            </w:pPr>
            <w:r>
              <w:rPr>
                <w:sz w:val="20"/>
                <w:szCs w:val="20"/>
              </w:rPr>
              <w:t>Justine Saunders</w:t>
            </w:r>
          </w:p>
        </w:tc>
        <w:tc>
          <w:tcPr>
            <w:tcW w:w="1701" w:type="dxa"/>
          </w:tcPr>
          <w:p w14:paraId="6F15712B" w14:textId="5939E334" w:rsidR="00902097" w:rsidRPr="00C667B2" w:rsidRDefault="00902097" w:rsidP="00DE62FA">
            <w:pPr>
              <w:rPr>
                <w:sz w:val="20"/>
                <w:szCs w:val="20"/>
              </w:rPr>
            </w:pPr>
            <w:r w:rsidRPr="00C667B2">
              <w:rPr>
                <w:sz w:val="20"/>
                <w:szCs w:val="20"/>
              </w:rPr>
              <w:t>Departmental lead for the portfolio.</w:t>
            </w:r>
          </w:p>
          <w:p w14:paraId="24A36A4C" w14:textId="77777777" w:rsidR="00902097" w:rsidRPr="00C667B2" w:rsidRDefault="00902097" w:rsidP="00DE62FA">
            <w:pPr>
              <w:rPr>
                <w:sz w:val="20"/>
                <w:szCs w:val="20"/>
              </w:rPr>
            </w:pPr>
            <w:r w:rsidRPr="00C667B2">
              <w:rPr>
                <w:sz w:val="20"/>
                <w:szCs w:val="20"/>
              </w:rPr>
              <w:t xml:space="preserve">Key decision maker in terms of dept engagement and approaches. Source of advice to the Minister. </w:t>
            </w:r>
          </w:p>
        </w:tc>
        <w:tc>
          <w:tcPr>
            <w:tcW w:w="1560" w:type="dxa"/>
          </w:tcPr>
          <w:p w14:paraId="2C3199D6" w14:textId="5D25B45F" w:rsidR="00902097" w:rsidRPr="00C667B2" w:rsidRDefault="00902097" w:rsidP="00DE62FA">
            <w:pPr>
              <w:rPr>
                <w:sz w:val="20"/>
                <w:szCs w:val="20"/>
              </w:rPr>
            </w:pPr>
            <w:r w:rsidRPr="00C667B2">
              <w:rPr>
                <w:sz w:val="20"/>
                <w:szCs w:val="20"/>
              </w:rPr>
              <w:t>RDCs are aligned to the broader portfolio aims. The impact of RDCs work is clear and understood</w:t>
            </w:r>
          </w:p>
        </w:tc>
        <w:tc>
          <w:tcPr>
            <w:tcW w:w="2409" w:type="dxa"/>
          </w:tcPr>
          <w:p w14:paraId="05E77160" w14:textId="77777777" w:rsidR="00902097" w:rsidRPr="00C667B2" w:rsidRDefault="00902097" w:rsidP="00DE62FA">
            <w:pPr>
              <w:rPr>
                <w:sz w:val="20"/>
                <w:szCs w:val="20"/>
              </w:rPr>
            </w:pPr>
            <w:r w:rsidRPr="00C667B2">
              <w:rPr>
                <w:sz w:val="20"/>
                <w:szCs w:val="20"/>
              </w:rPr>
              <w:t>Deputy Secretaries</w:t>
            </w:r>
          </w:p>
          <w:p w14:paraId="1AF5200E" w14:textId="77777777" w:rsidR="00902097" w:rsidRPr="00C667B2" w:rsidRDefault="00902097" w:rsidP="00DE62FA">
            <w:pPr>
              <w:rPr>
                <w:sz w:val="20"/>
                <w:szCs w:val="20"/>
              </w:rPr>
            </w:pPr>
            <w:r w:rsidRPr="00C667B2">
              <w:rPr>
                <w:sz w:val="20"/>
                <w:szCs w:val="20"/>
              </w:rPr>
              <w:t>First Assistant Secretaries</w:t>
            </w:r>
          </w:p>
          <w:p w14:paraId="48DB8B0F" w14:textId="77777777" w:rsidR="00902097" w:rsidRPr="00C667B2" w:rsidRDefault="00902097" w:rsidP="00DE62FA">
            <w:pPr>
              <w:rPr>
                <w:sz w:val="20"/>
                <w:szCs w:val="20"/>
              </w:rPr>
            </w:pPr>
            <w:r w:rsidRPr="00C667B2">
              <w:rPr>
                <w:sz w:val="20"/>
                <w:szCs w:val="20"/>
              </w:rPr>
              <w:t>Assistant Secretaries</w:t>
            </w:r>
          </w:p>
          <w:p w14:paraId="29728D5A" w14:textId="77777777" w:rsidR="00902097" w:rsidRPr="00C667B2" w:rsidRDefault="00902097" w:rsidP="00DE62FA">
            <w:pPr>
              <w:rPr>
                <w:sz w:val="20"/>
                <w:szCs w:val="20"/>
              </w:rPr>
            </w:pPr>
            <w:r w:rsidRPr="00C667B2">
              <w:rPr>
                <w:sz w:val="20"/>
                <w:szCs w:val="20"/>
              </w:rPr>
              <w:t>Line areas</w:t>
            </w:r>
          </w:p>
          <w:p w14:paraId="2AA57370" w14:textId="77777777" w:rsidR="00902097" w:rsidRPr="00C667B2" w:rsidRDefault="00902097" w:rsidP="00DE62FA">
            <w:pPr>
              <w:rPr>
                <w:sz w:val="20"/>
                <w:szCs w:val="20"/>
              </w:rPr>
            </w:pPr>
            <w:r w:rsidRPr="00C667B2">
              <w:rPr>
                <w:sz w:val="20"/>
                <w:szCs w:val="20"/>
              </w:rPr>
              <w:t>RDCs / Council</w:t>
            </w:r>
          </w:p>
          <w:p w14:paraId="284A5CF1" w14:textId="77777777" w:rsidR="00902097" w:rsidRPr="00C667B2" w:rsidRDefault="00902097" w:rsidP="00DE62FA">
            <w:pPr>
              <w:rPr>
                <w:sz w:val="20"/>
                <w:szCs w:val="20"/>
              </w:rPr>
            </w:pPr>
            <w:r w:rsidRPr="00C667B2">
              <w:rPr>
                <w:sz w:val="20"/>
                <w:szCs w:val="20"/>
              </w:rPr>
              <w:t>APS colleagues</w:t>
            </w:r>
          </w:p>
          <w:p w14:paraId="47DC4771" w14:textId="77777777" w:rsidR="00902097" w:rsidRPr="00C667B2" w:rsidRDefault="00902097" w:rsidP="00DE62FA">
            <w:pPr>
              <w:rPr>
                <w:sz w:val="20"/>
                <w:szCs w:val="20"/>
              </w:rPr>
            </w:pPr>
            <w:r w:rsidRPr="00C667B2">
              <w:rPr>
                <w:sz w:val="20"/>
                <w:szCs w:val="20"/>
              </w:rPr>
              <w:t>AgSOC colleagues</w:t>
            </w:r>
          </w:p>
        </w:tc>
        <w:tc>
          <w:tcPr>
            <w:tcW w:w="2835" w:type="dxa"/>
          </w:tcPr>
          <w:p w14:paraId="68AD953D" w14:textId="77777777" w:rsidR="00902097" w:rsidRPr="00C667B2" w:rsidRDefault="00902097" w:rsidP="00DE62FA">
            <w:pPr>
              <w:rPr>
                <w:sz w:val="20"/>
                <w:szCs w:val="20"/>
              </w:rPr>
            </w:pPr>
            <w:r w:rsidRPr="00C667B2">
              <w:rPr>
                <w:sz w:val="20"/>
                <w:szCs w:val="20"/>
              </w:rPr>
              <w:t>Briefings</w:t>
            </w:r>
          </w:p>
          <w:p w14:paraId="6643212C" w14:textId="77777777" w:rsidR="00902097" w:rsidRPr="00C667B2" w:rsidRDefault="00902097" w:rsidP="00DE62FA">
            <w:pPr>
              <w:rPr>
                <w:sz w:val="20"/>
                <w:szCs w:val="20"/>
              </w:rPr>
            </w:pPr>
            <w:r w:rsidRPr="00C667B2">
              <w:rPr>
                <w:sz w:val="20"/>
                <w:szCs w:val="20"/>
              </w:rPr>
              <w:t>Parliamentary processes (QoNs, inquiries, QTBs, Estimates)</w:t>
            </w:r>
          </w:p>
          <w:p w14:paraId="385C70EC" w14:textId="77777777" w:rsidR="00902097" w:rsidRPr="00C667B2" w:rsidRDefault="00902097" w:rsidP="00DE62FA">
            <w:pPr>
              <w:rPr>
                <w:sz w:val="20"/>
                <w:szCs w:val="20"/>
              </w:rPr>
            </w:pPr>
            <w:r w:rsidRPr="00C667B2">
              <w:rPr>
                <w:sz w:val="20"/>
                <w:szCs w:val="20"/>
              </w:rPr>
              <w:t>Departmental processes (briefs, correspondence)</w:t>
            </w:r>
          </w:p>
          <w:p w14:paraId="4D64E2B4" w14:textId="77777777" w:rsidR="00902097" w:rsidRPr="00C667B2" w:rsidRDefault="00902097" w:rsidP="00DE62FA">
            <w:pPr>
              <w:rPr>
                <w:sz w:val="20"/>
                <w:szCs w:val="20"/>
              </w:rPr>
            </w:pPr>
            <w:r w:rsidRPr="00C667B2">
              <w:rPr>
                <w:sz w:val="20"/>
                <w:szCs w:val="20"/>
              </w:rPr>
              <w:t>Council meetings</w:t>
            </w:r>
          </w:p>
          <w:p w14:paraId="3259EC7B" w14:textId="77777777" w:rsidR="00902097" w:rsidRPr="00C667B2" w:rsidRDefault="00902097" w:rsidP="00DE62FA">
            <w:pPr>
              <w:rPr>
                <w:sz w:val="20"/>
                <w:szCs w:val="20"/>
              </w:rPr>
            </w:pPr>
            <w:r w:rsidRPr="00C667B2">
              <w:rPr>
                <w:sz w:val="20"/>
                <w:szCs w:val="20"/>
              </w:rPr>
              <w:t>Media – incoming</w:t>
            </w:r>
          </w:p>
        </w:tc>
      </w:tr>
      <w:tr w:rsidR="00902097" w:rsidRPr="00C667B2" w14:paraId="0065784F" w14:textId="77777777" w:rsidTr="0064020A">
        <w:tc>
          <w:tcPr>
            <w:tcW w:w="1843" w:type="dxa"/>
          </w:tcPr>
          <w:p w14:paraId="1C32A177" w14:textId="77777777" w:rsidR="00902097" w:rsidRPr="00C667B2" w:rsidRDefault="00902097" w:rsidP="00DE62FA">
            <w:pPr>
              <w:rPr>
                <w:sz w:val="20"/>
                <w:szCs w:val="20"/>
              </w:rPr>
            </w:pPr>
            <w:r w:rsidRPr="00C667B2">
              <w:rPr>
                <w:sz w:val="20"/>
                <w:szCs w:val="20"/>
              </w:rPr>
              <w:t>Shadow Minister for Agriculture, Fisheries and Forestry</w:t>
            </w:r>
          </w:p>
          <w:p w14:paraId="5D691703" w14:textId="77777777" w:rsidR="00902097" w:rsidRPr="00C667B2" w:rsidRDefault="00902097" w:rsidP="00DE62FA">
            <w:pPr>
              <w:rPr>
                <w:sz w:val="20"/>
                <w:szCs w:val="20"/>
              </w:rPr>
            </w:pPr>
            <w:r w:rsidRPr="00C667B2">
              <w:rPr>
                <w:sz w:val="20"/>
                <w:szCs w:val="20"/>
              </w:rPr>
              <w:t>Shadow Minister for Rural and Regional Australia</w:t>
            </w:r>
          </w:p>
        </w:tc>
        <w:tc>
          <w:tcPr>
            <w:tcW w:w="1701" w:type="dxa"/>
          </w:tcPr>
          <w:p w14:paraId="36CCCEA4" w14:textId="77777777" w:rsidR="00902097" w:rsidRPr="00C667B2" w:rsidRDefault="00902097" w:rsidP="00525E83">
            <w:pPr>
              <w:rPr>
                <w:sz w:val="20"/>
                <w:szCs w:val="20"/>
              </w:rPr>
            </w:pPr>
          </w:p>
        </w:tc>
        <w:tc>
          <w:tcPr>
            <w:tcW w:w="1701" w:type="dxa"/>
          </w:tcPr>
          <w:p w14:paraId="23A4C48E" w14:textId="2BCEC79E" w:rsidR="00902097" w:rsidRPr="00C667B2" w:rsidRDefault="00902097" w:rsidP="00DE62FA">
            <w:pPr>
              <w:rPr>
                <w:sz w:val="20"/>
                <w:szCs w:val="20"/>
              </w:rPr>
            </w:pPr>
            <w:r w:rsidRPr="00C667B2">
              <w:rPr>
                <w:sz w:val="20"/>
                <w:szCs w:val="20"/>
              </w:rPr>
              <w:t>Potential voice of dissent and source questions. Has indicated will launch an inquiry if elected to government</w:t>
            </w:r>
          </w:p>
        </w:tc>
        <w:tc>
          <w:tcPr>
            <w:tcW w:w="1560" w:type="dxa"/>
          </w:tcPr>
          <w:p w14:paraId="031535BC" w14:textId="77974063" w:rsidR="00902097" w:rsidRPr="00C667B2" w:rsidRDefault="00902097" w:rsidP="00DE62FA">
            <w:pPr>
              <w:rPr>
                <w:sz w:val="20"/>
                <w:szCs w:val="20"/>
              </w:rPr>
            </w:pPr>
            <w:r w:rsidRPr="00C667B2">
              <w:rPr>
                <w:sz w:val="20"/>
                <w:szCs w:val="20"/>
              </w:rPr>
              <w:t>RDCs as a critical component of the rural innovation system</w:t>
            </w:r>
          </w:p>
        </w:tc>
        <w:tc>
          <w:tcPr>
            <w:tcW w:w="2409" w:type="dxa"/>
          </w:tcPr>
          <w:p w14:paraId="5FBB1EF9" w14:textId="77777777" w:rsidR="00902097" w:rsidRPr="00C667B2" w:rsidRDefault="00902097" w:rsidP="00DE62FA">
            <w:pPr>
              <w:rPr>
                <w:sz w:val="20"/>
                <w:szCs w:val="20"/>
              </w:rPr>
            </w:pPr>
            <w:r w:rsidRPr="00C667B2">
              <w:rPr>
                <w:sz w:val="20"/>
                <w:szCs w:val="20"/>
              </w:rPr>
              <w:t>Adviser</w:t>
            </w:r>
          </w:p>
          <w:p w14:paraId="28A020B6" w14:textId="77777777" w:rsidR="00902097" w:rsidRPr="00C667B2" w:rsidRDefault="00902097" w:rsidP="00DE62FA">
            <w:pPr>
              <w:rPr>
                <w:sz w:val="20"/>
                <w:szCs w:val="20"/>
              </w:rPr>
            </w:pPr>
            <w:r w:rsidRPr="00C667B2">
              <w:rPr>
                <w:sz w:val="20"/>
                <w:szCs w:val="20"/>
              </w:rPr>
              <w:t>Committees</w:t>
            </w:r>
          </w:p>
          <w:p w14:paraId="22139FF7" w14:textId="77777777" w:rsidR="00902097" w:rsidRPr="00C667B2" w:rsidRDefault="00902097" w:rsidP="00DE62FA">
            <w:pPr>
              <w:rPr>
                <w:sz w:val="20"/>
                <w:szCs w:val="20"/>
              </w:rPr>
            </w:pPr>
            <w:r w:rsidRPr="00C667B2">
              <w:rPr>
                <w:sz w:val="20"/>
                <w:szCs w:val="20"/>
              </w:rPr>
              <w:t>Party and Parliamentary colleagues</w:t>
            </w:r>
          </w:p>
          <w:p w14:paraId="65EC82E5" w14:textId="77777777" w:rsidR="00902097" w:rsidRPr="00C667B2" w:rsidRDefault="00902097" w:rsidP="00DE62FA">
            <w:pPr>
              <w:rPr>
                <w:sz w:val="20"/>
                <w:szCs w:val="20"/>
              </w:rPr>
            </w:pPr>
            <w:r w:rsidRPr="00C667B2">
              <w:rPr>
                <w:sz w:val="20"/>
                <w:szCs w:val="20"/>
              </w:rPr>
              <w:t>Industry</w:t>
            </w:r>
          </w:p>
          <w:p w14:paraId="3D6685ED" w14:textId="77777777" w:rsidR="00902097" w:rsidRPr="00C667B2" w:rsidRDefault="00902097" w:rsidP="00DE62FA">
            <w:pPr>
              <w:rPr>
                <w:sz w:val="20"/>
                <w:szCs w:val="20"/>
              </w:rPr>
            </w:pPr>
            <w:r w:rsidRPr="00C667B2">
              <w:rPr>
                <w:sz w:val="20"/>
                <w:szCs w:val="20"/>
              </w:rPr>
              <w:t>Media - incoming</w:t>
            </w:r>
          </w:p>
          <w:p w14:paraId="212C9CCE" w14:textId="77777777" w:rsidR="00902097" w:rsidRPr="00C667B2" w:rsidRDefault="00902097" w:rsidP="00DE62FA">
            <w:pPr>
              <w:rPr>
                <w:sz w:val="20"/>
                <w:szCs w:val="20"/>
              </w:rPr>
            </w:pPr>
            <w:r w:rsidRPr="00C667B2">
              <w:rPr>
                <w:sz w:val="20"/>
                <w:szCs w:val="20"/>
              </w:rPr>
              <w:t>RDCs / Council</w:t>
            </w:r>
          </w:p>
        </w:tc>
        <w:tc>
          <w:tcPr>
            <w:tcW w:w="2835" w:type="dxa"/>
          </w:tcPr>
          <w:p w14:paraId="47885E28" w14:textId="77777777" w:rsidR="00902097" w:rsidRPr="00C667B2" w:rsidRDefault="00902097" w:rsidP="00DE62FA">
            <w:pPr>
              <w:rPr>
                <w:sz w:val="20"/>
                <w:szCs w:val="20"/>
              </w:rPr>
            </w:pPr>
            <w:r w:rsidRPr="00C667B2">
              <w:rPr>
                <w:sz w:val="20"/>
                <w:szCs w:val="20"/>
              </w:rPr>
              <w:t>Briefings</w:t>
            </w:r>
          </w:p>
          <w:p w14:paraId="5590FDC5" w14:textId="77777777" w:rsidR="00902097" w:rsidRPr="00C667B2" w:rsidRDefault="00902097" w:rsidP="00DE62FA">
            <w:pPr>
              <w:rPr>
                <w:sz w:val="20"/>
                <w:szCs w:val="20"/>
              </w:rPr>
            </w:pPr>
            <w:r w:rsidRPr="00C667B2">
              <w:rPr>
                <w:sz w:val="20"/>
                <w:szCs w:val="20"/>
              </w:rPr>
              <w:t xml:space="preserve">Parliamentary processes </w:t>
            </w:r>
          </w:p>
          <w:p w14:paraId="36645538" w14:textId="77777777" w:rsidR="00902097" w:rsidRPr="00C667B2" w:rsidRDefault="00902097" w:rsidP="00DE62FA">
            <w:pPr>
              <w:rPr>
                <w:sz w:val="20"/>
                <w:szCs w:val="20"/>
              </w:rPr>
            </w:pPr>
            <w:r w:rsidRPr="00C667B2">
              <w:rPr>
                <w:sz w:val="20"/>
                <w:szCs w:val="20"/>
              </w:rPr>
              <w:t>Media - incoming</w:t>
            </w:r>
          </w:p>
          <w:p w14:paraId="42261957" w14:textId="77777777" w:rsidR="00902097" w:rsidRPr="00C667B2" w:rsidRDefault="00902097" w:rsidP="00DE62FA">
            <w:pPr>
              <w:rPr>
                <w:sz w:val="20"/>
                <w:szCs w:val="20"/>
              </w:rPr>
            </w:pPr>
          </w:p>
        </w:tc>
      </w:tr>
      <w:tr w:rsidR="00902097" w:rsidRPr="00C667B2" w14:paraId="60BC3A5E" w14:textId="77777777" w:rsidTr="0064020A">
        <w:tc>
          <w:tcPr>
            <w:tcW w:w="1843" w:type="dxa"/>
          </w:tcPr>
          <w:p w14:paraId="0F1009BB" w14:textId="6B2BEAE1" w:rsidR="00902097" w:rsidRPr="00C667B2" w:rsidRDefault="00902097" w:rsidP="00DE62FA">
            <w:pPr>
              <w:rPr>
                <w:sz w:val="20"/>
                <w:szCs w:val="20"/>
              </w:rPr>
            </w:pPr>
            <w:r w:rsidRPr="00C667B2">
              <w:rPr>
                <w:sz w:val="20"/>
                <w:szCs w:val="20"/>
              </w:rPr>
              <w:t>National Industry Representatives</w:t>
            </w:r>
            <w:r w:rsidR="0047091A">
              <w:rPr>
                <w:sz w:val="20"/>
                <w:szCs w:val="20"/>
              </w:rPr>
              <w:t xml:space="preserve"> – NFF etc</w:t>
            </w:r>
            <w:r w:rsidR="00B27CED">
              <w:rPr>
                <w:sz w:val="20"/>
                <w:szCs w:val="20"/>
              </w:rPr>
              <w:t xml:space="preserve"> </w:t>
            </w:r>
          </w:p>
        </w:tc>
        <w:tc>
          <w:tcPr>
            <w:tcW w:w="1701" w:type="dxa"/>
          </w:tcPr>
          <w:p w14:paraId="36AF5DD8" w14:textId="22E57376" w:rsidR="00902097" w:rsidRPr="00C667B2" w:rsidRDefault="0064020A" w:rsidP="00525E83">
            <w:pPr>
              <w:rPr>
                <w:sz w:val="20"/>
                <w:szCs w:val="20"/>
              </w:rPr>
            </w:pPr>
            <w:r>
              <w:rPr>
                <w:sz w:val="20"/>
                <w:szCs w:val="20"/>
              </w:rPr>
              <w:t>David Jochinke NFF President, Troy Williams, CEO</w:t>
            </w:r>
          </w:p>
        </w:tc>
        <w:tc>
          <w:tcPr>
            <w:tcW w:w="1701" w:type="dxa"/>
          </w:tcPr>
          <w:p w14:paraId="7551F737" w14:textId="5F7F6E17" w:rsidR="00902097" w:rsidRPr="00C667B2" w:rsidRDefault="00902097" w:rsidP="00DE62FA">
            <w:pPr>
              <w:rPr>
                <w:sz w:val="20"/>
                <w:szCs w:val="20"/>
              </w:rPr>
            </w:pPr>
            <w:r w:rsidRPr="00C667B2">
              <w:rPr>
                <w:sz w:val="20"/>
                <w:szCs w:val="20"/>
              </w:rPr>
              <w:t>Influence pathway. Potential to reinforce or detract from key messages</w:t>
            </w:r>
          </w:p>
        </w:tc>
        <w:tc>
          <w:tcPr>
            <w:tcW w:w="1560" w:type="dxa"/>
          </w:tcPr>
          <w:p w14:paraId="6485E03B" w14:textId="73258E3E" w:rsidR="00902097" w:rsidRPr="00C667B2" w:rsidRDefault="00902097" w:rsidP="00DE62FA">
            <w:pPr>
              <w:rPr>
                <w:sz w:val="20"/>
                <w:szCs w:val="20"/>
              </w:rPr>
            </w:pPr>
            <w:r w:rsidRPr="00C667B2">
              <w:rPr>
                <w:sz w:val="20"/>
                <w:szCs w:val="20"/>
              </w:rPr>
              <w:t>RDCs understood to be effective, efficient and trusted players within the portfolio</w:t>
            </w:r>
          </w:p>
        </w:tc>
        <w:tc>
          <w:tcPr>
            <w:tcW w:w="2409" w:type="dxa"/>
          </w:tcPr>
          <w:p w14:paraId="7EF81CF5" w14:textId="77777777" w:rsidR="00902097" w:rsidRPr="00C667B2" w:rsidRDefault="00902097" w:rsidP="00DE62FA">
            <w:pPr>
              <w:rPr>
                <w:sz w:val="20"/>
                <w:szCs w:val="20"/>
              </w:rPr>
            </w:pPr>
            <w:r w:rsidRPr="00C667B2">
              <w:rPr>
                <w:sz w:val="20"/>
                <w:szCs w:val="20"/>
              </w:rPr>
              <w:t>Members (levy payers)</w:t>
            </w:r>
          </w:p>
          <w:p w14:paraId="0F7BE7EE" w14:textId="77777777" w:rsidR="00902097" w:rsidRPr="00C667B2" w:rsidRDefault="00902097" w:rsidP="00DE62FA">
            <w:pPr>
              <w:rPr>
                <w:sz w:val="20"/>
                <w:szCs w:val="20"/>
              </w:rPr>
            </w:pPr>
            <w:r w:rsidRPr="00C667B2">
              <w:rPr>
                <w:sz w:val="20"/>
                <w:szCs w:val="20"/>
              </w:rPr>
              <w:t>RDCs / Council</w:t>
            </w:r>
          </w:p>
          <w:p w14:paraId="1F7D51EE" w14:textId="77777777" w:rsidR="00902097" w:rsidRPr="00C667B2" w:rsidRDefault="00902097" w:rsidP="00DE62FA">
            <w:pPr>
              <w:rPr>
                <w:sz w:val="20"/>
                <w:szCs w:val="20"/>
              </w:rPr>
            </w:pPr>
            <w:r w:rsidRPr="00C667B2">
              <w:rPr>
                <w:sz w:val="20"/>
                <w:szCs w:val="20"/>
              </w:rPr>
              <w:t>Media – incoming</w:t>
            </w:r>
          </w:p>
        </w:tc>
        <w:tc>
          <w:tcPr>
            <w:tcW w:w="2835" w:type="dxa"/>
          </w:tcPr>
          <w:p w14:paraId="25BCE158" w14:textId="77777777" w:rsidR="00902097" w:rsidRPr="00C667B2" w:rsidRDefault="00902097" w:rsidP="00DE62FA">
            <w:pPr>
              <w:rPr>
                <w:sz w:val="20"/>
                <w:szCs w:val="20"/>
              </w:rPr>
            </w:pPr>
            <w:r w:rsidRPr="00C667B2">
              <w:rPr>
                <w:sz w:val="20"/>
                <w:szCs w:val="20"/>
              </w:rPr>
              <w:t>Briefings</w:t>
            </w:r>
          </w:p>
          <w:p w14:paraId="5A1DA431" w14:textId="77777777" w:rsidR="00902097" w:rsidRPr="00C667B2" w:rsidRDefault="00902097" w:rsidP="00DE62FA">
            <w:pPr>
              <w:rPr>
                <w:sz w:val="20"/>
                <w:szCs w:val="20"/>
              </w:rPr>
            </w:pPr>
            <w:r w:rsidRPr="00C667B2">
              <w:rPr>
                <w:sz w:val="20"/>
                <w:szCs w:val="20"/>
              </w:rPr>
              <w:t>Correspondence</w:t>
            </w:r>
          </w:p>
          <w:p w14:paraId="3E30C09F" w14:textId="77777777" w:rsidR="00902097" w:rsidRPr="00C667B2" w:rsidRDefault="00902097" w:rsidP="00DE62FA">
            <w:pPr>
              <w:rPr>
                <w:sz w:val="20"/>
                <w:szCs w:val="20"/>
              </w:rPr>
            </w:pPr>
            <w:r w:rsidRPr="00C667B2">
              <w:rPr>
                <w:sz w:val="20"/>
                <w:szCs w:val="20"/>
              </w:rPr>
              <w:t>Sponsorships and events</w:t>
            </w:r>
          </w:p>
          <w:p w14:paraId="166025D1" w14:textId="77777777" w:rsidR="00902097" w:rsidRDefault="00902097" w:rsidP="00DE62FA">
            <w:pPr>
              <w:rPr>
                <w:sz w:val="20"/>
                <w:szCs w:val="20"/>
              </w:rPr>
            </w:pPr>
            <w:r w:rsidRPr="00C667B2">
              <w:rPr>
                <w:sz w:val="20"/>
                <w:szCs w:val="20"/>
              </w:rPr>
              <w:t>Direct and indirect engagement</w:t>
            </w:r>
          </w:p>
          <w:p w14:paraId="6F5A5EEA" w14:textId="64B32025" w:rsidR="0064020A" w:rsidRPr="00C667B2" w:rsidRDefault="0064020A" w:rsidP="00DE62FA">
            <w:pPr>
              <w:rPr>
                <w:sz w:val="20"/>
                <w:szCs w:val="20"/>
              </w:rPr>
            </w:pPr>
            <w:r>
              <w:rPr>
                <w:sz w:val="20"/>
                <w:szCs w:val="20"/>
              </w:rPr>
              <w:t>Invite to a Council meeting each year</w:t>
            </w:r>
          </w:p>
        </w:tc>
      </w:tr>
      <w:tr w:rsidR="00B27CED" w:rsidRPr="00C667B2" w14:paraId="02416DAE" w14:textId="77777777" w:rsidTr="0064020A">
        <w:tc>
          <w:tcPr>
            <w:tcW w:w="1843" w:type="dxa"/>
          </w:tcPr>
          <w:p w14:paraId="13355600" w14:textId="776336D4" w:rsidR="00B27CED" w:rsidRDefault="00B27CED" w:rsidP="00DE62FA">
            <w:pPr>
              <w:rPr>
                <w:sz w:val="20"/>
                <w:szCs w:val="20"/>
              </w:rPr>
            </w:pPr>
            <w:r>
              <w:rPr>
                <w:sz w:val="20"/>
                <w:szCs w:val="20"/>
              </w:rPr>
              <w:t xml:space="preserve">National Innovation System leaders/ RDC </w:t>
            </w:r>
            <w:r w:rsidR="0064020A">
              <w:rPr>
                <w:sz w:val="20"/>
                <w:szCs w:val="20"/>
              </w:rPr>
              <w:t>ally’s</w:t>
            </w:r>
          </w:p>
          <w:p w14:paraId="2960965A" w14:textId="110C26D1" w:rsidR="00B27CED" w:rsidRPr="00C667B2" w:rsidRDefault="00B27CED" w:rsidP="00DE62FA">
            <w:pPr>
              <w:rPr>
                <w:sz w:val="20"/>
                <w:szCs w:val="20"/>
              </w:rPr>
            </w:pPr>
          </w:p>
        </w:tc>
        <w:tc>
          <w:tcPr>
            <w:tcW w:w="1701" w:type="dxa"/>
          </w:tcPr>
          <w:p w14:paraId="31DF124C" w14:textId="77777777" w:rsidR="00B27CED" w:rsidRDefault="0064020A" w:rsidP="00525E83">
            <w:pPr>
              <w:rPr>
                <w:sz w:val="20"/>
                <w:szCs w:val="20"/>
              </w:rPr>
            </w:pPr>
            <w:r>
              <w:rPr>
                <w:sz w:val="20"/>
                <w:szCs w:val="20"/>
              </w:rPr>
              <w:t>CRC Association?</w:t>
            </w:r>
          </w:p>
          <w:p w14:paraId="5199AD1B" w14:textId="77777777" w:rsidR="0064020A" w:rsidRDefault="0064020A" w:rsidP="00525E83">
            <w:pPr>
              <w:rPr>
                <w:sz w:val="20"/>
                <w:szCs w:val="20"/>
              </w:rPr>
            </w:pPr>
          </w:p>
          <w:p w14:paraId="2B7A6698" w14:textId="77777777" w:rsidR="0064020A" w:rsidRDefault="0064020A" w:rsidP="00525E83">
            <w:pPr>
              <w:rPr>
                <w:sz w:val="20"/>
                <w:szCs w:val="20"/>
              </w:rPr>
            </w:pPr>
            <w:r>
              <w:rPr>
                <w:sz w:val="20"/>
                <w:szCs w:val="20"/>
              </w:rPr>
              <w:t>CSIRO?</w:t>
            </w:r>
          </w:p>
          <w:p w14:paraId="4184B671" w14:textId="77777777" w:rsidR="0064020A" w:rsidRDefault="0064020A" w:rsidP="00525E83">
            <w:pPr>
              <w:rPr>
                <w:sz w:val="20"/>
                <w:szCs w:val="20"/>
              </w:rPr>
            </w:pPr>
          </w:p>
          <w:p w14:paraId="3DF34D6E" w14:textId="77777777" w:rsidR="0064020A" w:rsidRDefault="0064020A" w:rsidP="00525E83">
            <w:pPr>
              <w:rPr>
                <w:sz w:val="20"/>
                <w:szCs w:val="20"/>
              </w:rPr>
            </w:pPr>
            <w:r>
              <w:rPr>
                <w:sz w:val="20"/>
                <w:szCs w:val="20"/>
              </w:rPr>
              <w:t>SERD Panel members</w:t>
            </w:r>
          </w:p>
          <w:p w14:paraId="702E4671" w14:textId="77777777" w:rsidR="0064020A" w:rsidRDefault="0064020A" w:rsidP="00525E83">
            <w:pPr>
              <w:rPr>
                <w:sz w:val="20"/>
                <w:szCs w:val="20"/>
              </w:rPr>
            </w:pPr>
          </w:p>
          <w:p w14:paraId="7974B330" w14:textId="2A99727F" w:rsidR="0064020A" w:rsidRPr="00C667B2" w:rsidRDefault="0064020A" w:rsidP="00525E83">
            <w:pPr>
              <w:rPr>
                <w:sz w:val="20"/>
                <w:szCs w:val="20"/>
              </w:rPr>
            </w:pPr>
            <w:r>
              <w:rPr>
                <w:sz w:val="20"/>
                <w:szCs w:val="20"/>
              </w:rPr>
              <w:t>Science meets Parliament</w:t>
            </w:r>
          </w:p>
        </w:tc>
        <w:tc>
          <w:tcPr>
            <w:tcW w:w="1701" w:type="dxa"/>
          </w:tcPr>
          <w:p w14:paraId="3C1C4A23" w14:textId="77777777" w:rsidR="00B27CED" w:rsidRDefault="0064020A" w:rsidP="00DE62FA">
            <w:pPr>
              <w:rPr>
                <w:sz w:val="20"/>
                <w:szCs w:val="20"/>
              </w:rPr>
            </w:pPr>
            <w:r>
              <w:rPr>
                <w:sz w:val="20"/>
                <w:szCs w:val="20"/>
              </w:rPr>
              <w:t>Influence pathway.</w:t>
            </w:r>
          </w:p>
          <w:p w14:paraId="0D0B36FF" w14:textId="4B165A93" w:rsidR="0064020A" w:rsidRPr="00C667B2" w:rsidRDefault="0064020A" w:rsidP="00DE62FA">
            <w:pPr>
              <w:rPr>
                <w:sz w:val="20"/>
                <w:szCs w:val="20"/>
              </w:rPr>
            </w:pPr>
            <w:r>
              <w:rPr>
                <w:sz w:val="20"/>
                <w:szCs w:val="20"/>
              </w:rPr>
              <w:t>Increase recognition of RDCs within National Innovation System</w:t>
            </w:r>
          </w:p>
        </w:tc>
        <w:tc>
          <w:tcPr>
            <w:tcW w:w="1560" w:type="dxa"/>
          </w:tcPr>
          <w:p w14:paraId="0249802D" w14:textId="0F544D69" w:rsidR="00B27CED" w:rsidRPr="00C667B2" w:rsidRDefault="0064020A" w:rsidP="00DE62FA">
            <w:pPr>
              <w:rPr>
                <w:sz w:val="20"/>
                <w:szCs w:val="20"/>
              </w:rPr>
            </w:pPr>
            <w:r>
              <w:rPr>
                <w:sz w:val="20"/>
                <w:szCs w:val="20"/>
              </w:rPr>
              <w:t>Supporters of RDCs.</w:t>
            </w:r>
          </w:p>
        </w:tc>
        <w:tc>
          <w:tcPr>
            <w:tcW w:w="2409" w:type="dxa"/>
          </w:tcPr>
          <w:p w14:paraId="433C205C" w14:textId="4CCFDF6E" w:rsidR="00B27CED" w:rsidRDefault="0064020A" w:rsidP="00DE62FA">
            <w:pPr>
              <w:rPr>
                <w:sz w:val="20"/>
                <w:szCs w:val="20"/>
              </w:rPr>
            </w:pPr>
            <w:r>
              <w:rPr>
                <w:sz w:val="20"/>
                <w:szCs w:val="20"/>
              </w:rPr>
              <w:t>Research providers seeking funding from RDCs.</w:t>
            </w:r>
          </w:p>
          <w:p w14:paraId="6881C79A" w14:textId="77777777" w:rsidR="0064020A" w:rsidRDefault="0064020A" w:rsidP="00DE62FA">
            <w:pPr>
              <w:rPr>
                <w:sz w:val="20"/>
                <w:szCs w:val="20"/>
              </w:rPr>
            </w:pPr>
            <w:r>
              <w:rPr>
                <w:sz w:val="20"/>
                <w:szCs w:val="20"/>
              </w:rPr>
              <w:t>Board directors.</w:t>
            </w:r>
          </w:p>
          <w:p w14:paraId="58C6DFEA" w14:textId="1A7E2986" w:rsidR="0064020A" w:rsidRPr="00C667B2" w:rsidRDefault="0064020A" w:rsidP="00DE62FA">
            <w:pPr>
              <w:rPr>
                <w:sz w:val="20"/>
                <w:szCs w:val="20"/>
              </w:rPr>
            </w:pPr>
          </w:p>
        </w:tc>
        <w:tc>
          <w:tcPr>
            <w:tcW w:w="2835" w:type="dxa"/>
          </w:tcPr>
          <w:p w14:paraId="5591DD86" w14:textId="77777777" w:rsidR="00B27CED" w:rsidRDefault="0064020A" w:rsidP="00DE62FA">
            <w:pPr>
              <w:rPr>
                <w:sz w:val="20"/>
                <w:szCs w:val="20"/>
              </w:rPr>
            </w:pPr>
            <w:r>
              <w:rPr>
                <w:sz w:val="20"/>
                <w:szCs w:val="20"/>
              </w:rPr>
              <w:t>Strategic RDC attendance at key events and forums.</w:t>
            </w:r>
          </w:p>
          <w:p w14:paraId="3CFE39D3" w14:textId="77777777" w:rsidR="0064020A" w:rsidRDefault="0064020A" w:rsidP="00DE62FA">
            <w:pPr>
              <w:rPr>
                <w:sz w:val="20"/>
                <w:szCs w:val="20"/>
              </w:rPr>
            </w:pPr>
          </w:p>
          <w:p w14:paraId="6088FC3C" w14:textId="2F7BFD6E" w:rsidR="0064020A" w:rsidRPr="00C667B2" w:rsidRDefault="0064020A" w:rsidP="00DE62FA">
            <w:pPr>
              <w:rPr>
                <w:sz w:val="20"/>
                <w:szCs w:val="20"/>
              </w:rPr>
            </w:pPr>
            <w:r>
              <w:rPr>
                <w:sz w:val="20"/>
                <w:szCs w:val="20"/>
              </w:rPr>
              <w:t>Seeking opportunities for RDC presentations – sharing the narrative about importance of model.</w:t>
            </w:r>
          </w:p>
        </w:tc>
      </w:tr>
      <w:tr w:rsidR="0064020A" w:rsidRPr="00C667B2" w14:paraId="33179A51" w14:textId="77777777" w:rsidTr="0064020A">
        <w:tc>
          <w:tcPr>
            <w:tcW w:w="1843" w:type="dxa"/>
          </w:tcPr>
          <w:p w14:paraId="108F3612" w14:textId="7C2146DA" w:rsidR="0064020A" w:rsidRDefault="0064020A" w:rsidP="00DE62FA">
            <w:pPr>
              <w:rPr>
                <w:sz w:val="20"/>
                <w:szCs w:val="20"/>
              </w:rPr>
            </w:pPr>
            <w:r>
              <w:rPr>
                <w:sz w:val="20"/>
                <w:szCs w:val="20"/>
              </w:rPr>
              <w:t xml:space="preserve">Ministers for </w:t>
            </w:r>
            <w:r w:rsidR="00B9606D">
              <w:rPr>
                <w:sz w:val="20"/>
                <w:szCs w:val="20"/>
              </w:rPr>
              <w:t xml:space="preserve">Trade, </w:t>
            </w:r>
            <w:r>
              <w:rPr>
                <w:sz w:val="20"/>
                <w:szCs w:val="20"/>
              </w:rPr>
              <w:t>Science, Climate Change; Environment; Workplace Relations</w:t>
            </w:r>
          </w:p>
          <w:p w14:paraId="267C7F10" w14:textId="7B42ACBF" w:rsidR="0064020A" w:rsidRPr="00C667B2" w:rsidRDefault="0064020A" w:rsidP="00DE62FA">
            <w:pPr>
              <w:rPr>
                <w:sz w:val="20"/>
                <w:szCs w:val="20"/>
              </w:rPr>
            </w:pPr>
          </w:p>
        </w:tc>
        <w:tc>
          <w:tcPr>
            <w:tcW w:w="1701" w:type="dxa"/>
          </w:tcPr>
          <w:p w14:paraId="11234475" w14:textId="77777777" w:rsidR="0064020A" w:rsidRPr="00C667B2" w:rsidRDefault="0064020A" w:rsidP="00525E83">
            <w:pPr>
              <w:rPr>
                <w:sz w:val="20"/>
                <w:szCs w:val="20"/>
              </w:rPr>
            </w:pPr>
          </w:p>
        </w:tc>
        <w:tc>
          <w:tcPr>
            <w:tcW w:w="1701" w:type="dxa"/>
          </w:tcPr>
          <w:p w14:paraId="11060676" w14:textId="77777777" w:rsidR="0064020A" w:rsidRPr="00C667B2" w:rsidRDefault="0064020A" w:rsidP="00DE62FA">
            <w:pPr>
              <w:rPr>
                <w:sz w:val="20"/>
                <w:szCs w:val="20"/>
              </w:rPr>
            </w:pPr>
          </w:p>
        </w:tc>
        <w:tc>
          <w:tcPr>
            <w:tcW w:w="1560" w:type="dxa"/>
          </w:tcPr>
          <w:p w14:paraId="2F329B0F" w14:textId="77777777" w:rsidR="0064020A" w:rsidRPr="00C667B2" w:rsidRDefault="0064020A" w:rsidP="00DE62FA">
            <w:pPr>
              <w:rPr>
                <w:sz w:val="20"/>
                <w:szCs w:val="20"/>
              </w:rPr>
            </w:pPr>
          </w:p>
        </w:tc>
        <w:tc>
          <w:tcPr>
            <w:tcW w:w="2409" w:type="dxa"/>
          </w:tcPr>
          <w:p w14:paraId="43735F26" w14:textId="77777777" w:rsidR="0064020A" w:rsidRPr="00C667B2" w:rsidRDefault="0064020A" w:rsidP="00DE62FA">
            <w:pPr>
              <w:rPr>
                <w:sz w:val="20"/>
                <w:szCs w:val="20"/>
              </w:rPr>
            </w:pPr>
          </w:p>
        </w:tc>
        <w:tc>
          <w:tcPr>
            <w:tcW w:w="2835" w:type="dxa"/>
          </w:tcPr>
          <w:p w14:paraId="34DE43D7" w14:textId="77777777" w:rsidR="0064020A" w:rsidRPr="0064020A" w:rsidRDefault="0064020A" w:rsidP="0064020A">
            <w:pPr>
              <w:rPr>
                <w:sz w:val="20"/>
                <w:szCs w:val="20"/>
              </w:rPr>
            </w:pPr>
            <w:r w:rsidRPr="0064020A">
              <w:rPr>
                <w:sz w:val="20"/>
                <w:szCs w:val="20"/>
              </w:rPr>
              <w:t>Briefings</w:t>
            </w:r>
          </w:p>
          <w:p w14:paraId="4DDD6CFD" w14:textId="77777777" w:rsidR="0064020A" w:rsidRPr="0064020A" w:rsidRDefault="0064020A" w:rsidP="0064020A">
            <w:pPr>
              <w:rPr>
                <w:sz w:val="20"/>
                <w:szCs w:val="20"/>
              </w:rPr>
            </w:pPr>
            <w:r w:rsidRPr="0064020A">
              <w:rPr>
                <w:sz w:val="20"/>
                <w:szCs w:val="20"/>
              </w:rPr>
              <w:t>Events (speaking opportunities)</w:t>
            </w:r>
          </w:p>
          <w:p w14:paraId="42AB169A" w14:textId="77777777" w:rsidR="0064020A" w:rsidRPr="0064020A" w:rsidRDefault="0064020A" w:rsidP="0064020A">
            <w:pPr>
              <w:rPr>
                <w:sz w:val="20"/>
                <w:szCs w:val="20"/>
              </w:rPr>
            </w:pPr>
            <w:r w:rsidRPr="0064020A">
              <w:rPr>
                <w:sz w:val="20"/>
                <w:szCs w:val="20"/>
              </w:rPr>
              <w:t>Media – outgoing (eg announcements/ launches)</w:t>
            </w:r>
          </w:p>
          <w:p w14:paraId="388EF2FA" w14:textId="77777777" w:rsidR="0064020A" w:rsidRPr="0064020A" w:rsidRDefault="0064020A" w:rsidP="0064020A">
            <w:pPr>
              <w:rPr>
                <w:sz w:val="20"/>
                <w:szCs w:val="20"/>
              </w:rPr>
            </w:pPr>
            <w:r w:rsidRPr="0064020A">
              <w:rPr>
                <w:sz w:val="20"/>
                <w:szCs w:val="20"/>
              </w:rPr>
              <w:t>Media – incoming</w:t>
            </w:r>
          </w:p>
          <w:p w14:paraId="5F0C4346" w14:textId="77777777" w:rsidR="0064020A" w:rsidRPr="0064020A" w:rsidRDefault="0064020A" w:rsidP="0064020A">
            <w:pPr>
              <w:rPr>
                <w:sz w:val="20"/>
                <w:szCs w:val="20"/>
              </w:rPr>
            </w:pPr>
            <w:r w:rsidRPr="0064020A">
              <w:rPr>
                <w:sz w:val="20"/>
                <w:szCs w:val="20"/>
              </w:rPr>
              <w:t>Parliamentary processes (QoNs, inquiries, QTBs)</w:t>
            </w:r>
          </w:p>
          <w:p w14:paraId="747DC831" w14:textId="77777777" w:rsidR="0064020A" w:rsidRPr="0064020A" w:rsidRDefault="0064020A" w:rsidP="0064020A">
            <w:pPr>
              <w:rPr>
                <w:sz w:val="20"/>
                <w:szCs w:val="20"/>
              </w:rPr>
            </w:pPr>
            <w:r w:rsidRPr="0064020A">
              <w:rPr>
                <w:sz w:val="20"/>
                <w:szCs w:val="20"/>
              </w:rPr>
              <w:t>Council meetings</w:t>
            </w:r>
          </w:p>
          <w:p w14:paraId="1875F1FF" w14:textId="77777777" w:rsidR="0064020A" w:rsidRPr="0064020A" w:rsidRDefault="0064020A" w:rsidP="0064020A">
            <w:pPr>
              <w:rPr>
                <w:sz w:val="20"/>
                <w:szCs w:val="20"/>
              </w:rPr>
            </w:pPr>
            <w:r w:rsidRPr="0064020A">
              <w:rPr>
                <w:sz w:val="20"/>
                <w:szCs w:val="20"/>
              </w:rPr>
              <w:t>Social media</w:t>
            </w:r>
          </w:p>
          <w:p w14:paraId="3C160055" w14:textId="77777777" w:rsidR="0064020A" w:rsidRPr="00C667B2" w:rsidRDefault="0064020A" w:rsidP="00DE62FA">
            <w:pPr>
              <w:rPr>
                <w:sz w:val="20"/>
                <w:szCs w:val="20"/>
              </w:rPr>
            </w:pPr>
          </w:p>
        </w:tc>
      </w:tr>
      <w:tr w:rsidR="00902097" w:rsidRPr="00C667B2" w14:paraId="3E2E62CE" w14:textId="77777777" w:rsidTr="0064020A">
        <w:tc>
          <w:tcPr>
            <w:tcW w:w="1843" w:type="dxa"/>
          </w:tcPr>
          <w:p w14:paraId="301807AF" w14:textId="77777777" w:rsidR="00902097" w:rsidRPr="00C667B2" w:rsidRDefault="00902097" w:rsidP="00DE62FA">
            <w:pPr>
              <w:rPr>
                <w:sz w:val="20"/>
                <w:szCs w:val="20"/>
              </w:rPr>
            </w:pPr>
            <w:r w:rsidRPr="00C667B2">
              <w:rPr>
                <w:sz w:val="20"/>
                <w:szCs w:val="20"/>
              </w:rPr>
              <w:t>Media</w:t>
            </w:r>
          </w:p>
        </w:tc>
        <w:tc>
          <w:tcPr>
            <w:tcW w:w="1701" w:type="dxa"/>
          </w:tcPr>
          <w:p w14:paraId="6621F24A" w14:textId="77777777" w:rsidR="00902097" w:rsidRPr="00C667B2" w:rsidRDefault="00902097" w:rsidP="00525E83">
            <w:pPr>
              <w:rPr>
                <w:sz w:val="20"/>
                <w:szCs w:val="20"/>
              </w:rPr>
            </w:pPr>
          </w:p>
        </w:tc>
        <w:tc>
          <w:tcPr>
            <w:tcW w:w="1701" w:type="dxa"/>
          </w:tcPr>
          <w:p w14:paraId="24EB8EC1" w14:textId="7B863165" w:rsidR="00902097" w:rsidRPr="00C667B2" w:rsidRDefault="00902097" w:rsidP="00DE62FA">
            <w:pPr>
              <w:rPr>
                <w:sz w:val="20"/>
                <w:szCs w:val="20"/>
              </w:rPr>
            </w:pPr>
            <w:r w:rsidRPr="00C667B2">
              <w:rPr>
                <w:sz w:val="20"/>
                <w:szCs w:val="20"/>
              </w:rPr>
              <w:t>Influence pathway. Potential to reinforce or detract from key messages</w:t>
            </w:r>
          </w:p>
        </w:tc>
        <w:tc>
          <w:tcPr>
            <w:tcW w:w="1560" w:type="dxa"/>
          </w:tcPr>
          <w:p w14:paraId="7BD05535" w14:textId="75E276CE" w:rsidR="00902097" w:rsidRPr="00C667B2" w:rsidRDefault="00902097" w:rsidP="00DE62FA">
            <w:pPr>
              <w:rPr>
                <w:sz w:val="20"/>
                <w:szCs w:val="20"/>
              </w:rPr>
            </w:pPr>
            <w:r w:rsidRPr="00C667B2">
              <w:rPr>
                <w:sz w:val="20"/>
                <w:szCs w:val="20"/>
              </w:rPr>
              <w:t>RDCs delivering for Australia</w:t>
            </w:r>
          </w:p>
          <w:p w14:paraId="0261BCF5" w14:textId="77777777" w:rsidR="00902097" w:rsidRPr="00C667B2" w:rsidRDefault="00902097" w:rsidP="00DE62FA">
            <w:pPr>
              <w:rPr>
                <w:sz w:val="20"/>
                <w:szCs w:val="20"/>
              </w:rPr>
            </w:pPr>
            <w:r w:rsidRPr="00C667B2">
              <w:rPr>
                <w:sz w:val="20"/>
                <w:szCs w:val="20"/>
              </w:rPr>
              <w:t>Council provides a point of contact and content for cross-RDC activity</w:t>
            </w:r>
          </w:p>
        </w:tc>
        <w:tc>
          <w:tcPr>
            <w:tcW w:w="2409" w:type="dxa"/>
          </w:tcPr>
          <w:p w14:paraId="7A9AA94A" w14:textId="77777777" w:rsidR="00902097" w:rsidRPr="00C667B2" w:rsidRDefault="00902097" w:rsidP="00DE62FA">
            <w:pPr>
              <w:rPr>
                <w:sz w:val="20"/>
                <w:szCs w:val="20"/>
              </w:rPr>
            </w:pPr>
            <w:r w:rsidRPr="00C667B2">
              <w:rPr>
                <w:sz w:val="20"/>
                <w:szCs w:val="20"/>
              </w:rPr>
              <w:t>Politicians</w:t>
            </w:r>
          </w:p>
          <w:p w14:paraId="1A5D751F" w14:textId="77777777" w:rsidR="00902097" w:rsidRPr="00C667B2" w:rsidRDefault="00902097" w:rsidP="00DE62FA">
            <w:pPr>
              <w:rPr>
                <w:sz w:val="20"/>
                <w:szCs w:val="20"/>
              </w:rPr>
            </w:pPr>
            <w:r w:rsidRPr="00C667B2">
              <w:rPr>
                <w:sz w:val="20"/>
                <w:szCs w:val="20"/>
              </w:rPr>
              <w:t>Industry</w:t>
            </w:r>
          </w:p>
          <w:p w14:paraId="0E62ECC6" w14:textId="77777777" w:rsidR="00902097" w:rsidRPr="00C667B2" w:rsidRDefault="00902097" w:rsidP="00DE62FA">
            <w:pPr>
              <w:rPr>
                <w:sz w:val="20"/>
                <w:szCs w:val="20"/>
              </w:rPr>
            </w:pPr>
            <w:r w:rsidRPr="00C667B2">
              <w:rPr>
                <w:sz w:val="20"/>
                <w:szCs w:val="20"/>
              </w:rPr>
              <w:t>RDCs</w:t>
            </w:r>
          </w:p>
          <w:p w14:paraId="0422187D" w14:textId="77777777" w:rsidR="00902097" w:rsidRPr="00C667B2" w:rsidRDefault="00902097" w:rsidP="00DE62FA">
            <w:pPr>
              <w:rPr>
                <w:sz w:val="20"/>
                <w:szCs w:val="20"/>
              </w:rPr>
            </w:pPr>
            <w:r w:rsidRPr="00C667B2">
              <w:rPr>
                <w:sz w:val="20"/>
                <w:szCs w:val="20"/>
              </w:rPr>
              <w:t>Social media</w:t>
            </w:r>
          </w:p>
          <w:p w14:paraId="2B121B80" w14:textId="77777777" w:rsidR="00902097" w:rsidRPr="00C667B2" w:rsidRDefault="00902097" w:rsidP="00DE62FA">
            <w:pPr>
              <w:rPr>
                <w:sz w:val="20"/>
                <w:szCs w:val="20"/>
              </w:rPr>
            </w:pPr>
          </w:p>
        </w:tc>
        <w:tc>
          <w:tcPr>
            <w:tcW w:w="2835" w:type="dxa"/>
          </w:tcPr>
          <w:p w14:paraId="70B5B7CB" w14:textId="77777777" w:rsidR="00902097" w:rsidRPr="00C667B2" w:rsidRDefault="00902097" w:rsidP="00DE62FA">
            <w:pPr>
              <w:rPr>
                <w:sz w:val="20"/>
                <w:szCs w:val="20"/>
              </w:rPr>
            </w:pPr>
            <w:r w:rsidRPr="00C667B2">
              <w:rPr>
                <w:sz w:val="20"/>
                <w:szCs w:val="20"/>
              </w:rPr>
              <w:t>Direct and indirect engagement</w:t>
            </w:r>
          </w:p>
          <w:p w14:paraId="0658CCBA" w14:textId="77777777" w:rsidR="00902097" w:rsidRPr="00C667B2" w:rsidRDefault="00902097" w:rsidP="00DE62FA">
            <w:pPr>
              <w:rPr>
                <w:sz w:val="20"/>
                <w:szCs w:val="20"/>
              </w:rPr>
            </w:pPr>
            <w:r w:rsidRPr="00C667B2">
              <w:rPr>
                <w:sz w:val="20"/>
                <w:szCs w:val="20"/>
              </w:rPr>
              <w:t>Providers of content</w:t>
            </w:r>
          </w:p>
        </w:tc>
      </w:tr>
    </w:tbl>
    <w:p w14:paraId="14915946" w14:textId="77777777" w:rsidR="004E7A64" w:rsidRDefault="004E7A64" w:rsidP="004E7A64"/>
    <w:p w14:paraId="164A8A24" w14:textId="77777777" w:rsidR="00A13777" w:rsidRDefault="00A13777" w:rsidP="004E7A64"/>
    <w:p w14:paraId="05A209DA" w14:textId="77777777" w:rsidR="00936273" w:rsidRDefault="00936273" w:rsidP="004E7A64"/>
    <w:p w14:paraId="3E3F9616" w14:textId="22EAD9B1" w:rsidR="004E7A64" w:rsidRDefault="004E7A64" w:rsidP="004E7A64">
      <w:pPr>
        <w:sectPr w:rsidR="004E7A64" w:rsidSect="00BD018C">
          <w:headerReference w:type="default" r:id="rId12"/>
          <w:footerReference w:type="default" r:id="rId13"/>
          <w:pgSz w:w="16838" w:h="11906" w:orient="landscape"/>
          <w:pgMar w:top="1440" w:right="1440" w:bottom="1440" w:left="1440" w:header="708" w:footer="708" w:gutter="0"/>
          <w:cols w:space="708"/>
          <w:docGrid w:linePitch="360"/>
        </w:sectPr>
      </w:pPr>
      <w:r>
        <w:br w:type="page"/>
      </w:r>
    </w:p>
    <w:p w14:paraId="42DB3A49" w14:textId="7D7CE629" w:rsidR="00BE22F8" w:rsidRDefault="00ED2E3C" w:rsidP="00F023B1">
      <w:pPr>
        <w:tabs>
          <w:tab w:val="left" w:pos="5840"/>
        </w:tabs>
      </w:pPr>
      <w:r w:rsidRPr="00360255">
        <w:rPr>
          <w:rStyle w:val="Heading1Char"/>
        </w:rPr>
        <w:t xml:space="preserve">APPENDIX </w:t>
      </w:r>
      <w:r w:rsidR="00AA1FF8">
        <w:rPr>
          <w:rStyle w:val="Heading1Char"/>
        </w:rPr>
        <w:t>1</w:t>
      </w:r>
      <w:r w:rsidR="000816AB">
        <w:rPr>
          <w:rStyle w:val="Heading1Char"/>
        </w:rPr>
        <w:t xml:space="preserve">: </w:t>
      </w:r>
      <w:r w:rsidR="00BE22F8" w:rsidRPr="000816AB">
        <w:rPr>
          <w:rFonts w:asciiTheme="majorHAnsi" w:eastAsiaTheme="majorEastAsia" w:hAnsiTheme="majorHAnsi" w:cstheme="majorBidi"/>
          <w:color w:val="0F4761" w:themeColor="accent1" w:themeShade="BF"/>
          <w:sz w:val="40"/>
          <w:szCs w:val="40"/>
        </w:rPr>
        <w:t>Summary of reviews relating to RDC Model</w:t>
      </w:r>
    </w:p>
    <w:p w14:paraId="0D3ACA32" w14:textId="3CC73F7C" w:rsidR="00ED2E3C" w:rsidRDefault="00BE22F8" w:rsidP="00F023B1">
      <w:pPr>
        <w:tabs>
          <w:tab w:val="left" w:pos="5840"/>
        </w:tabs>
      </w:pPr>
      <w:r>
        <w:br/>
      </w:r>
      <w:r>
        <w:rPr>
          <w:noProof/>
        </w:rPr>
        <w:drawing>
          <wp:inline distT="0" distB="0" distL="0" distR="0" wp14:anchorId="0C007DD5" wp14:editId="5F2D82B2">
            <wp:extent cx="6248958" cy="2806700"/>
            <wp:effectExtent l="0" t="0" r="0" b="0"/>
            <wp:docPr id="416318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18366" name=""/>
                    <pic:cNvPicPr/>
                  </pic:nvPicPr>
                  <pic:blipFill>
                    <a:blip r:embed="rId14"/>
                    <a:stretch>
                      <a:fillRect/>
                    </a:stretch>
                  </pic:blipFill>
                  <pic:spPr>
                    <a:xfrm>
                      <a:off x="0" y="0"/>
                      <a:ext cx="6252542" cy="2808310"/>
                    </a:xfrm>
                    <a:prstGeom prst="rect">
                      <a:avLst/>
                    </a:prstGeom>
                  </pic:spPr>
                </pic:pic>
              </a:graphicData>
            </a:graphic>
          </wp:inline>
        </w:drawing>
      </w:r>
    </w:p>
    <w:p w14:paraId="7FE64F47" w14:textId="77777777" w:rsidR="00AA1FF8" w:rsidRDefault="00AA1FF8" w:rsidP="00AA1FF8"/>
    <w:p w14:paraId="1A901EC6" w14:textId="49B6066D" w:rsidR="00AA1FF8" w:rsidRPr="00AA1FF8" w:rsidRDefault="00AA1FF8" w:rsidP="00AA1FF8">
      <w:pPr>
        <w:rPr>
          <w:b/>
          <w:bCs/>
        </w:rPr>
      </w:pPr>
      <w:r w:rsidRPr="00AA1FF8">
        <w:rPr>
          <w:b/>
          <w:bCs/>
        </w:rPr>
        <w:t>2024 – 2025 Strategic Examination of Research &amp; Development</w:t>
      </w:r>
      <w:r>
        <w:rPr>
          <w:b/>
          <w:bCs/>
        </w:rPr>
        <w:t xml:space="preserve"> (SERD)</w:t>
      </w:r>
    </w:p>
    <w:p w14:paraId="65849C71" w14:textId="66FCAFCA" w:rsidR="00AA1FF8" w:rsidRPr="001D2DB2" w:rsidRDefault="00AA1FF8" w:rsidP="00AA1FF8">
      <w:pPr>
        <w:pStyle w:val="NoSpacing"/>
        <w:rPr>
          <w:rFonts w:ascii="Aptos" w:hAnsi="Aptos" w:cs="Arial"/>
          <w:color w:val="000000" w:themeColor="text1"/>
          <w:spacing w:val="2"/>
        </w:rPr>
      </w:pPr>
      <w:r w:rsidRPr="00AA1FF8">
        <w:rPr>
          <w:rFonts w:ascii="Aptos" w:hAnsi="Aptos"/>
          <w:color w:val="000000" w:themeColor="text1"/>
        </w:rPr>
        <w:t xml:space="preserve">The SERD is led by the Federal Department of Industry, Science and Resources. </w:t>
      </w:r>
      <w:r>
        <w:rPr>
          <w:rFonts w:ascii="Aptos" w:hAnsi="Aptos"/>
          <w:color w:val="000000" w:themeColor="text1"/>
        </w:rPr>
        <w:t>An e</w:t>
      </w:r>
      <w:r w:rsidRPr="00AA1FF8">
        <w:rPr>
          <w:rFonts w:ascii="Aptos" w:hAnsi="Aptos"/>
          <w:color w:val="000000" w:themeColor="text1"/>
        </w:rPr>
        <w:t xml:space="preserve">xpert panel of four </w:t>
      </w:r>
      <w:r>
        <w:rPr>
          <w:rFonts w:ascii="Aptos" w:hAnsi="Aptos"/>
          <w:color w:val="000000" w:themeColor="text1"/>
        </w:rPr>
        <w:t>is</w:t>
      </w:r>
      <w:r w:rsidRPr="00AA1FF8">
        <w:rPr>
          <w:rFonts w:ascii="Aptos" w:hAnsi="Aptos"/>
          <w:color w:val="000000" w:themeColor="text1"/>
        </w:rPr>
        <w:t xml:space="preserve"> oversee</w:t>
      </w:r>
      <w:r>
        <w:rPr>
          <w:rFonts w:ascii="Aptos" w:hAnsi="Aptos"/>
          <w:color w:val="000000" w:themeColor="text1"/>
        </w:rPr>
        <w:t>ing</w:t>
      </w:r>
      <w:r w:rsidRPr="00AA1FF8">
        <w:rPr>
          <w:rFonts w:ascii="Aptos" w:hAnsi="Aptos"/>
          <w:color w:val="000000" w:themeColor="text1"/>
        </w:rPr>
        <w:t xml:space="preserve"> the review. The RDCs made joint and individual submissions in March/ April 2025. Review findings expected in late 2025.</w:t>
      </w:r>
      <w:r w:rsidRPr="00AA1FF8">
        <w:rPr>
          <w:rFonts w:ascii="Aptos" w:hAnsi="Aptos" w:cs="Arial"/>
          <w:color w:val="000000" w:themeColor="text1"/>
          <w:spacing w:val="2"/>
        </w:rPr>
        <w:t xml:space="preserve"> </w:t>
      </w:r>
      <w:r>
        <w:rPr>
          <w:rFonts w:ascii="Aptos" w:hAnsi="Aptos" w:cs="Arial"/>
          <w:color w:val="000000" w:themeColor="text1"/>
          <w:spacing w:val="2"/>
        </w:rPr>
        <w:t>T</w:t>
      </w:r>
      <w:r w:rsidRPr="00AA1FF8">
        <w:rPr>
          <w:rFonts w:ascii="Aptos" w:hAnsi="Aptos" w:cs="Arial"/>
          <w:color w:val="000000" w:themeColor="text1"/>
          <w:spacing w:val="2"/>
        </w:rPr>
        <w:t>he SERD is designed to identify ways to enhance Australia's research and development (R&amp;D) system</w:t>
      </w:r>
      <w:r>
        <w:rPr>
          <w:rFonts w:ascii="Aptos" w:hAnsi="Aptos" w:cs="Arial"/>
          <w:color w:val="000000" w:themeColor="text1"/>
          <w:spacing w:val="2"/>
        </w:rPr>
        <w:t xml:space="preserve"> and is expected to make recommendations about:</w:t>
      </w:r>
      <w:r>
        <w:rPr>
          <w:rStyle w:val="uv3um"/>
          <w:rFonts w:ascii="Aptos" w:hAnsi="Aptos" w:cs="Arial"/>
          <w:color w:val="000000" w:themeColor="text1"/>
          <w:spacing w:val="2"/>
        </w:rPr>
        <w:t xml:space="preserve"> How to </w:t>
      </w:r>
      <w:r>
        <w:rPr>
          <w:rFonts w:ascii="Aptos" w:hAnsi="Aptos" w:cs="Arial"/>
          <w:color w:val="000000" w:themeColor="text1"/>
          <w:spacing w:val="2"/>
        </w:rPr>
        <w:t>g</w:t>
      </w:r>
      <w:r w:rsidRPr="00AA1FF8">
        <w:rPr>
          <w:rFonts w:ascii="Aptos" w:hAnsi="Aptos" w:cs="Arial"/>
          <w:color w:val="000000" w:themeColor="text1"/>
          <w:spacing w:val="2"/>
        </w:rPr>
        <w:t>et more value from R&amp;D investments across universities, industry, and government</w:t>
      </w:r>
      <w:r>
        <w:rPr>
          <w:rFonts w:ascii="Aptos" w:hAnsi="Aptos" w:cs="Arial"/>
          <w:color w:val="000000" w:themeColor="text1"/>
          <w:spacing w:val="2"/>
        </w:rPr>
        <w:t>; i</w:t>
      </w:r>
      <w:r w:rsidRPr="00AA1FF8">
        <w:rPr>
          <w:rFonts w:ascii="Aptos" w:hAnsi="Aptos" w:cs="Arial"/>
          <w:color w:val="000000" w:themeColor="text1"/>
          <w:spacing w:val="2"/>
        </w:rPr>
        <w:t>ncreas</w:t>
      </w:r>
      <w:r>
        <w:rPr>
          <w:rFonts w:ascii="Aptos" w:hAnsi="Aptos" w:cs="Arial"/>
          <w:color w:val="000000" w:themeColor="text1"/>
          <w:spacing w:val="2"/>
        </w:rPr>
        <w:t>ing</w:t>
      </w:r>
      <w:r w:rsidRPr="00AA1FF8">
        <w:rPr>
          <w:rFonts w:ascii="Aptos" w:hAnsi="Aptos" w:cs="Arial"/>
          <w:color w:val="000000" w:themeColor="text1"/>
          <w:spacing w:val="2"/>
        </w:rPr>
        <w:t xml:space="preserve"> business investment in R&amp;D</w:t>
      </w:r>
      <w:r>
        <w:rPr>
          <w:rFonts w:ascii="Aptos" w:hAnsi="Aptos" w:cs="Arial"/>
          <w:color w:val="000000" w:themeColor="text1"/>
          <w:spacing w:val="2"/>
        </w:rPr>
        <w:t>; l</w:t>
      </w:r>
      <w:r w:rsidRPr="00AA1FF8">
        <w:rPr>
          <w:rFonts w:ascii="Aptos" w:hAnsi="Aptos" w:cs="Arial"/>
          <w:color w:val="000000" w:themeColor="text1"/>
          <w:spacing w:val="2"/>
        </w:rPr>
        <w:t>everag</w:t>
      </w:r>
      <w:r>
        <w:rPr>
          <w:rFonts w:ascii="Aptos" w:hAnsi="Aptos" w:cs="Arial"/>
          <w:color w:val="000000" w:themeColor="text1"/>
          <w:spacing w:val="2"/>
        </w:rPr>
        <w:t>ing</w:t>
      </w:r>
      <w:r w:rsidRPr="00AA1FF8">
        <w:rPr>
          <w:rFonts w:ascii="Aptos" w:hAnsi="Aptos" w:cs="Arial"/>
          <w:color w:val="000000" w:themeColor="text1"/>
          <w:spacing w:val="2"/>
        </w:rPr>
        <w:t xml:space="preserve"> Australia's scientific strengths to address national priorities and foster new industries</w:t>
      </w:r>
      <w:r w:rsidR="001D2DB2">
        <w:rPr>
          <w:rFonts w:ascii="Aptos" w:hAnsi="Aptos" w:cs="Arial"/>
          <w:color w:val="000000" w:themeColor="text1"/>
          <w:spacing w:val="2"/>
        </w:rPr>
        <w:t>; and how to</w:t>
      </w:r>
      <w:r w:rsidR="001D2DB2">
        <w:rPr>
          <w:rStyle w:val="uv3um"/>
          <w:rFonts w:ascii="Aptos" w:hAnsi="Aptos" w:cs="Arial"/>
          <w:color w:val="000000" w:themeColor="text1"/>
          <w:spacing w:val="2"/>
        </w:rPr>
        <w:t xml:space="preserve"> s</w:t>
      </w:r>
      <w:r w:rsidRPr="00AA1FF8">
        <w:rPr>
          <w:rFonts w:ascii="Aptos" w:hAnsi="Aptos" w:cs="Arial"/>
          <w:color w:val="000000" w:themeColor="text1"/>
          <w:spacing w:val="2"/>
        </w:rPr>
        <w:t>trengthen the translation of research into practical applications and commercial outcomes.</w:t>
      </w:r>
      <w:r w:rsidRPr="00AA1FF8">
        <w:rPr>
          <w:rStyle w:val="uv3um"/>
          <w:rFonts w:ascii="Aptos" w:hAnsi="Aptos" w:cs="Arial"/>
          <w:color w:val="000000" w:themeColor="text1"/>
          <w:spacing w:val="2"/>
        </w:rPr>
        <w:t> </w:t>
      </w:r>
    </w:p>
    <w:p w14:paraId="5C39B7A2" w14:textId="77777777" w:rsidR="00AA1FF8" w:rsidRDefault="00AA1FF8" w:rsidP="00AA1FF8"/>
    <w:p w14:paraId="733579BB" w14:textId="77777777" w:rsidR="001D2DB2" w:rsidRPr="001D2DB2" w:rsidRDefault="001D2DB2" w:rsidP="00AA1FF8">
      <w:pPr>
        <w:rPr>
          <w:b/>
          <w:bCs/>
        </w:rPr>
      </w:pPr>
      <w:r w:rsidRPr="001D2DB2">
        <w:rPr>
          <w:b/>
          <w:bCs/>
        </w:rPr>
        <w:t>July 2025 Australian Government Focus on Increasing Productivity</w:t>
      </w:r>
    </w:p>
    <w:p w14:paraId="61ABE65D" w14:textId="0FAF68AA" w:rsidR="001D2DB2" w:rsidRDefault="001D2DB2" w:rsidP="00AA1FF8">
      <w:pPr>
        <w:sectPr w:rsidR="001D2DB2" w:rsidSect="00AA1FF8">
          <w:pgSz w:w="11906" w:h="16838"/>
          <w:pgMar w:top="1440" w:right="1440" w:bottom="1440" w:left="1440" w:header="708" w:footer="708" w:gutter="0"/>
          <w:cols w:space="708"/>
          <w:docGrid w:linePitch="360"/>
        </w:sectPr>
      </w:pPr>
      <w:r>
        <w:t xml:space="preserve">The Australian Government has announced it will be reviewing productivity across the economy. The RDCs have been invited to engage with DAFF on this process which commenced in July. </w:t>
      </w:r>
    </w:p>
    <w:p w14:paraId="2DE9445A" w14:textId="5FA02421" w:rsidR="00177FCA" w:rsidRPr="00662367" w:rsidRDefault="00E910B3" w:rsidP="00177FCA">
      <w:pPr>
        <w:pStyle w:val="Heading1"/>
      </w:pPr>
      <w:r>
        <w:t xml:space="preserve">Appendix 2: </w:t>
      </w:r>
      <w:r w:rsidR="005B249D">
        <w:t>Priority Ministerial Portfolios</w:t>
      </w:r>
      <w:r w:rsidR="00303565">
        <w:t xml:space="preserve"> + Shadow Portfolios </w:t>
      </w:r>
    </w:p>
    <w:p w14:paraId="124BD113" w14:textId="77777777" w:rsidR="005B249D" w:rsidRPr="00662367" w:rsidRDefault="005B249D" w:rsidP="00423445">
      <w:pPr>
        <w:pStyle w:val="Heading2"/>
      </w:pPr>
      <w:r w:rsidRPr="00662367">
        <w:t>Agriculture, Fisheries and Forestry</w:t>
      </w:r>
    </w:p>
    <w:tbl>
      <w:tblPr>
        <w:tblW w:w="12840" w:type="dxa"/>
        <w:tblCellMar>
          <w:top w:w="15" w:type="dxa"/>
          <w:left w:w="15" w:type="dxa"/>
          <w:bottom w:w="15" w:type="dxa"/>
          <w:right w:w="15" w:type="dxa"/>
        </w:tblCellMar>
        <w:tblLook w:val="04A0" w:firstRow="1" w:lastRow="0" w:firstColumn="1" w:lastColumn="0" w:noHBand="0" w:noVBand="1"/>
      </w:tblPr>
      <w:tblGrid>
        <w:gridCol w:w="4898"/>
        <w:gridCol w:w="3970"/>
        <w:gridCol w:w="3972"/>
      </w:tblGrid>
      <w:tr w:rsidR="005B249D" w:rsidRPr="00662367" w14:paraId="000BB7CA" w14:textId="77777777">
        <w:trPr>
          <w:tblHeader/>
        </w:trPr>
        <w:tc>
          <w:tcPr>
            <w:tcW w:w="4280" w:type="dxa"/>
            <w:tcBorders>
              <w:top w:val="single" w:sz="2" w:space="0" w:color="auto"/>
              <w:left w:val="single" w:sz="2" w:space="0" w:color="auto"/>
              <w:bottom w:val="single" w:sz="2" w:space="0" w:color="auto"/>
              <w:right w:val="single" w:sz="2" w:space="0" w:color="auto"/>
            </w:tcBorders>
            <w:vAlign w:val="center"/>
            <w:hideMark/>
          </w:tcPr>
          <w:p w14:paraId="01A08EBD" w14:textId="77777777" w:rsidR="005B249D" w:rsidRPr="00662367" w:rsidRDefault="005B249D">
            <w:pPr>
              <w:rPr>
                <w:b/>
                <w:bCs/>
              </w:rPr>
            </w:pPr>
            <w:r w:rsidRPr="00662367">
              <w:rPr>
                <w:b/>
                <w:bCs/>
              </w:rPr>
              <w:t>Title</w:t>
            </w:r>
          </w:p>
        </w:tc>
        <w:tc>
          <w:tcPr>
            <w:tcW w:w="4280" w:type="dxa"/>
            <w:tcBorders>
              <w:top w:val="single" w:sz="2" w:space="0" w:color="auto"/>
              <w:left w:val="single" w:sz="2" w:space="0" w:color="auto"/>
              <w:bottom w:val="single" w:sz="2" w:space="0" w:color="auto"/>
              <w:right w:val="single" w:sz="2" w:space="0" w:color="auto"/>
            </w:tcBorders>
            <w:vAlign w:val="center"/>
            <w:hideMark/>
          </w:tcPr>
          <w:p w14:paraId="07908B0E" w14:textId="77777777" w:rsidR="005B249D" w:rsidRPr="00662367" w:rsidRDefault="005B249D">
            <w:pPr>
              <w:rPr>
                <w:b/>
                <w:bCs/>
              </w:rPr>
            </w:pPr>
            <w:r w:rsidRPr="00662367">
              <w:rPr>
                <w:b/>
                <w:bCs/>
              </w:rPr>
              <w:t>Minister</w:t>
            </w:r>
          </w:p>
        </w:tc>
        <w:tc>
          <w:tcPr>
            <w:tcW w:w="4280" w:type="dxa"/>
            <w:tcBorders>
              <w:top w:val="single" w:sz="2" w:space="0" w:color="auto"/>
              <w:left w:val="single" w:sz="2" w:space="0" w:color="auto"/>
              <w:bottom w:val="single" w:sz="2" w:space="0" w:color="auto"/>
              <w:right w:val="single" w:sz="2" w:space="0" w:color="auto"/>
            </w:tcBorders>
            <w:vAlign w:val="center"/>
            <w:hideMark/>
          </w:tcPr>
          <w:p w14:paraId="4F3359E0" w14:textId="77777777" w:rsidR="005B249D" w:rsidRPr="00662367" w:rsidRDefault="005B249D">
            <w:pPr>
              <w:rPr>
                <w:b/>
                <w:bCs/>
              </w:rPr>
            </w:pPr>
            <w:r w:rsidRPr="00662367">
              <w:rPr>
                <w:b/>
                <w:bCs/>
              </w:rPr>
              <w:t>Other Chamber</w:t>
            </w:r>
          </w:p>
        </w:tc>
      </w:tr>
      <w:tr w:rsidR="005B249D" w:rsidRPr="00662367" w14:paraId="08A50828"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5C966E3D" w14:textId="77777777" w:rsidR="005B249D" w:rsidRPr="00662367" w:rsidRDefault="005B249D">
            <w:r w:rsidRPr="00662367">
              <w:rPr>
                <w:b/>
                <w:bCs/>
              </w:rPr>
              <w:t>Minister for Agriculture, Fisheries and Forestry</w:t>
            </w:r>
          </w:p>
        </w:tc>
        <w:tc>
          <w:tcPr>
            <w:tcW w:w="0" w:type="auto"/>
            <w:tcBorders>
              <w:top w:val="single" w:sz="2" w:space="0" w:color="auto"/>
              <w:left w:val="single" w:sz="2" w:space="0" w:color="auto"/>
              <w:bottom w:val="single" w:sz="2" w:space="0" w:color="auto"/>
              <w:right w:val="single" w:sz="2" w:space="0" w:color="auto"/>
            </w:tcBorders>
            <w:vAlign w:val="center"/>
            <w:hideMark/>
          </w:tcPr>
          <w:p w14:paraId="120FFA4C" w14:textId="77777777" w:rsidR="005B249D" w:rsidRPr="00662367" w:rsidRDefault="005B249D">
            <w:r w:rsidRPr="00662367">
              <w:t>The Hon Julie Collins MP</w:t>
            </w:r>
          </w:p>
        </w:tc>
        <w:tc>
          <w:tcPr>
            <w:tcW w:w="0" w:type="auto"/>
            <w:tcBorders>
              <w:top w:val="single" w:sz="2" w:space="0" w:color="auto"/>
              <w:left w:val="single" w:sz="2" w:space="0" w:color="auto"/>
              <w:bottom w:val="single" w:sz="2" w:space="0" w:color="auto"/>
              <w:right w:val="single" w:sz="2" w:space="0" w:color="auto"/>
            </w:tcBorders>
            <w:vAlign w:val="center"/>
            <w:hideMark/>
          </w:tcPr>
          <w:p w14:paraId="0A01F873" w14:textId="77777777" w:rsidR="005B249D" w:rsidRPr="00662367" w:rsidRDefault="005B249D">
            <w:r w:rsidRPr="00662367">
              <w:t>Senator the Hon Malarndirri McCarthy</w:t>
            </w:r>
          </w:p>
        </w:tc>
      </w:tr>
      <w:tr w:rsidR="005B249D" w:rsidRPr="00662367" w14:paraId="05247A32"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3E3698BC" w14:textId="77777777" w:rsidR="005B249D" w:rsidRPr="00E91961" w:rsidRDefault="005B249D">
            <w:r w:rsidRPr="00E91961">
              <w:t>Assistant Minister for Agriculture, Fisheries and Forestry</w:t>
            </w:r>
          </w:p>
        </w:tc>
        <w:tc>
          <w:tcPr>
            <w:tcW w:w="0" w:type="auto"/>
            <w:tcBorders>
              <w:top w:val="single" w:sz="2" w:space="0" w:color="auto"/>
              <w:left w:val="single" w:sz="2" w:space="0" w:color="auto"/>
              <w:bottom w:val="single" w:sz="2" w:space="0" w:color="auto"/>
              <w:right w:val="single" w:sz="2" w:space="0" w:color="auto"/>
            </w:tcBorders>
            <w:vAlign w:val="center"/>
            <w:hideMark/>
          </w:tcPr>
          <w:p w14:paraId="4F8E3299" w14:textId="77777777" w:rsidR="005B249D" w:rsidRPr="00E91961" w:rsidRDefault="005B249D">
            <w:r w:rsidRPr="00E91961">
              <w:t>Senator the Hon Anthony Chisholm</w:t>
            </w:r>
          </w:p>
        </w:tc>
        <w:tc>
          <w:tcPr>
            <w:tcW w:w="0" w:type="auto"/>
            <w:tcBorders>
              <w:top w:val="single" w:sz="2" w:space="0" w:color="auto"/>
              <w:left w:val="single" w:sz="2" w:space="0" w:color="auto"/>
              <w:bottom w:val="single" w:sz="2" w:space="0" w:color="auto"/>
              <w:right w:val="single" w:sz="2" w:space="0" w:color="auto"/>
            </w:tcBorders>
            <w:vAlign w:val="center"/>
            <w:hideMark/>
          </w:tcPr>
          <w:p w14:paraId="1D37EA4E" w14:textId="77777777" w:rsidR="005B249D" w:rsidRPr="00662367" w:rsidRDefault="005B249D">
            <w:r w:rsidRPr="00662367">
              <w:t> </w:t>
            </w:r>
          </w:p>
        </w:tc>
      </w:tr>
    </w:tbl>
    <w:p w14:paraId="6F938F72" w14:textId="77777777" w:rsidR="005B249D" w:rsidRPr="00662367" w:rsidRDefault="005B249D" w:rsidP="00423445">
      <w:pPr>
        <w:pStyle w:val="Heading2"/>
      </w:pPr>
      <w:r w:rsidRPr="00662367">
        <w:t>Industry, Science and Resources</w:t>
      </w:r>
    </w:p>
    <w:tbl>
      <w:tblPr>
        <w:tblW w:w="12840" w:type="dxa"/>
        <w:tblCellMar>
          <w:top w:w="15" w:type="dxa"/>
          <w:left w:w="15" w:type="dxa"/>
          <w:bottom w:w="15" w:type="dxa"/>
          <w:right w:w="15" w:type="dxa"/>
        </w:tblCellMar>
        <w:tblLook w:val="04A0" w:firstRow="1" w:lastRow="0" w:firstColumn="1" w:lastColumn="0" w:noHBand="0" w:noVBand="1"/>
      </w:tblPr>
      <w:tblGrid>
        <w:gridCol w:w="4959"/>
        <w:gridCol w:w="3969"/>
        <w:gridCol w:w="3912"/>
      </w:tblGrid>
      <w:tr w:rsidR="005B249D" w:rsidRPr="00662367" w14:paraId="2A362392" w14:textId="77777777" w:rsidTr="00AA1FF8">
        <w:trPr>
          <w:tblHeader/>
        </w:trPr>
        <w:tc>
          <w:tcPr>
            <w:tcW w:w="4959" w:type="dxa"/>
            <w:tcBorders>
              <w:top w:val="single" w:sz="2" w:space="0" w:color="auto"/>
              <w:left w:val="single" w:sz="2" w:space="0" w:color="auto"/>
              <w:bottom w:val="single" w:sz="2" w:space="0" w:color="auto"/>
              <w:right w:val="single" w:sz="2" w:space="0" w:color="auto"/>
            </w:tcBorders>
            <w:vAlign w:val="center"/>
            <w:hideMark/>
          </w:tcPr>
          <w:p w14:paraId="0AF2EFD2" w14:textId="77777777" w:rsidR="005B249D" w:rsidRPr="00662367" w:rsidRDefault="005B249D">
            <w:pPr>
              <w:rPr>
                <w:b/>
                <w:bCs/>
              </w:rPr>
            </w:pPr>
            <w:r w:rsidRPr="00662367">
              <w:rPr>
                <w:b/>
                <w:bCs/>
              </w:rPr>
              <w:t>Title</w:t>
            </w:r>
          </w:p>
        </w:tc>
        <w:tc>
          <w:tcPr>
            <w:tcW w:w="3969" w:type="dxa"/>
            <w:tcBorders>
              <w:top w:val="single" w:sz="2" w:space="0" w:color="auto"/>
              <w:left w:val="single" w:sz="2" w:space="0" w:color="auto"/>
              <w:bottom w:val="single" w:sz="2" w:space="0" w:color="auto"/>
              <w:right w:val="single" w:sz="2" w:space="0" w:color="auto"/>
            </w:tcBorders>
            <w:vAlign w:val="center"/>
            <w:hideMark/>
          </w:tcPr>
          <w:p w14:paraId="24E6F1E1" w14:textId="77777777" w:rsidR="005B249D" w:rsidRPr="00662367" w:rsidRDefault="005B249D">
            <w:pPr>
              <w:rPr>
                <w:b/>
                <w:bCs/>
              </w:rPr>
            </w:pPr>
            <w:r w:rsidRPr="00662367">
              <w:rPr>
                <w:b/>
                <w:bCs/>
              </w:rPr>
              <w:t>Minister</w:t>
            </w:r>
          </w:p>
        </w:tc>
        <w:tc>
          <w:tcPr>
            <w:tcW w:w="3912" w:type="dxa"/>
            <w:tcBorders>
              <w:top w:val="single" w:sz="2" w:space="0" w:color="auto"/>
              <w:left w:val="single" w:sz="2" w:space="0" w:color="auto"/>
              <w:bottom w:val="single" w:sz="2" w:space="0" w:color="auto"/>
              <w:right w:val="single" w:sz="2" w:space="0" w:color="auto"/>
            </w:tcBorders>
            <w:vAlign w:val="center"/>
            <w:hideMark/>
          </w:tcPr>
          <w:p w14:paraId="4ADA0D1E" w14:textId="77777777" w:rsidR="005B249D" w:rsidRPr="00662367" w:rsidRDefault="005B249D">
            <w:pPr>
              <w:rPr>
                <w:b/>
                <w:bCs/>
              </w:rPr>
            </w:pPr>
            <w:r w:rsidRPr="00662367">
              <w:rPr>
                <w:b/>
                <w:bCs/>
              </w:rPr>
              <w:t>Other Chamber</w:t>
            </w:r>
          </w:p>
        </w:tc>
      </w:tr>
      <w:tr w:rsidR="005B249D" w:rsidRPr="00662367" w14:paraId="4F46EEB1" w14:textId="77777777" w:rsidTr="00AA1FF8">
        <w:tc>
          <w:tcPr>
            <w:tcW w:w="4959" w:type="dxa"/>
            <w:tcBorders>
              <w:top w:val="single" w:sz="2" w:space="0" w:color="auto"/>
              <w:left w:val="single" w:sz="2" w:space="0" w:color="auto"/>
              <w:bottom w:val="single" w:sz="2" w:space="0" w:color="auto"/>
              <w:right w:val="single" w:sz="2" w:space="0" w:color="auto"/>
            </w:tcBorders>
            <w:vAlign w:val="center"/>
            <w:hideMark/>
          </w:tcPr>
          <w:p w14:paraId="79FF728D" w14:textId="77777777" w:rsidR="005B249D" w:rsidRPr="00662367" w:rsidRDefault="005B249D">
            <w:r w:rsidRPr="00662367">
              <w:rPr>
                <w:b/>
                <w:bCs/>
              </w:rPr>
              <w:t>Minister for Resources</w:t>
            </w:r>
          </w:p>
        </w:tc>
        <w:tc>
          <w:tcPr>
            <w:tcW w:w="3969" w:type="dxa"/>
            <w:tcBorders>
              <w:top w:val="single" w:sz="2" w:space="0" w:color="auto"/>
              <w:left w:val="single" w:sz="2" w:space="0" w:color="auto"/>
              <w:bottom w:val="single" w:sz="2" w:space="0" w:color="auto"/>
              <w:right w:val="single" w:sz="2" w:space="0" w:color="auto"/>
            </w:tcBorders>
            <w:vAlign w:val="center"/>
            <w:hideMark/>
          </w:tcPr>
          <w:p w14:paraId="57DA753F" w14:textId="77777777" w:rsidR="005B249D" w:rsidRPr="00662367" w:rsidRDefault="005B249D">
            <w:r w:rsidRPr="00662367">
              <w:t>The Hon Madeleine King MP</w:t>
            </w:r>
          </w:p>
        </w:tc>
        <w:tc>
          <w:tcPr>
            <w:tcW w:w="3912" w:type="dxa"/>
            <w:tcBorders>
              <w:top w:val="single" w:sz="2" w:space="0" w:color="auto"/>
              <w:left w:val="single" w:sz="2" w:space="0" w:color="auto"/>
              <w:bottom w:val="single" w:sz="2" w:space="0" w:color="auto"/>
              <w:right w:val="single" w:sz="2" w:space="0" w:color="auto"/>
            </w:tcBorders>
            <w:vAlign w:val="center"/>
            <w:hideMark/>
          </w:tcPr>
          <w:p w14:paraId="72D0CC9F" w14:textId="77777777" w:rsidR="005B249D" w:rsidRPr="00662367" w:rsidRDefault="005B249D">
            <w:r w:rsidRPr="00662367">
              <w:t>Senator the Hon Don Farrell</w:t>
            </w:r>
          </w:p>
        </w:tc>
      </w:tr>
      <w:tr w:rsidR="005B249D" w:rsidRPr="00662367" w14:paraId="1C1AAB4D" w14:textId="77777777" w:rsidTr="00AA1FF8">
        <w:tc>
          <w:tcPr>
            <w:tcW w:w="4959" w:type="dxa"/>
            <w:tcBorders>
              <w:top w:val="single" w:sz="2" w:space="0" w:color="auto"/>
              <w:left w:val="single" w:sz="2" w:space="0" w:color="auto"/>
              <w:bottom w:val="single" w:sz="2" w:space="0" w:color="auto"/>
              <w:right w:val="single" w:sz="2" w:space="0" w:color="auto"/>
            </w:tcBorders>
            <w:vAlign w:val="center"/>
            <w:hideMark/>
          </w:tcPr>
          <w:p w14:paraId="6F3FCAC0" w14:textId="77777777" w:rsidR="005B249D" w:rsidRPr="00662367" w:rsidRDefault="005B249D">
            <w:r w:rsidRPr="00662367">
              <w:rPr>
                <w:b/>
                <w:bCs/>
              </w:rPr>
              <w:t>Minister for Industry and Science</w:t>
            </w:r>
          </w:p>
        </w:tc>
        <w:tc>
          <w:tcPr>
            <w:tcW w:w="3969" w:type="dxa"/>
            <w:tcBorders>
              <w:top w:val="single" w:sz="2" w:space="0" w:color="auto"/>
              <w:left w:val="single" w:sz="2" w:space="0" w:color="auto"/>
              <w:bottom w:val="single" w:sz="2" w:space="0" w:color="auto"/>
              <w:right w:val="single" w:sz="2" w:space="0" w:color="auto"/>
            </w:tcBorders>
            <w:vAlign w:val="center"/>
            <w:hideMark/>
          </w:tcPr>
          <w:p w14:paraId="7D520867" w14:textId="59E29650" w:rsidR="005B249D" w:rsidRPr="00662367" w:rsidRDefault="00AA1FF8">
            <w:r>
              <w:t>Senator t</w:t>
            </w:r>
            <w:r w:rsidR="005B249D" w:rsidRPr="00662367">
              <w:t>he Hon</w:t>
            </w:r>
            <w:r w:rsidR="00E91961">
              <w:t xml:space="preserve"> Tim Ayres</w:t>
            </w:r>
          </w:p>
        </w:tc>
        <w:tc>
          <w:tcPr>
            <w:tcW w:w="3912" w:type="dxa"/>
            <w:tcBorders>
              <w:top w:val="single" w:sz="2" w:space="0" w:color="auto"/>
              <w:left w:val="single" w:sz="2" w:space="0" w:color="auto"/>
              <w:bottom w:val="single" w:sz="2" w:space="0" w:color="auto"/>
              <w:right w:val="single" w:sz="2" w:space="0" w:color="auto"/>
            </w:tcBorders>
            <w:vAlign w:val="center"/>
            <w:hideMark/>
          </w:tcPr>
          <w:p w14:paraId="4F1963E8" w14:textId="77777777" w:rsidR="005B249D" w:rsidRPr="00662367" w:rsidRDefault="005B249D">
            <w:r w:rsidRPr="00662367">
              <w:t>Senator the Hon Don Farrell</w:t>
            </w:r>
          </w:p>
        </w:tc>
      </w:tr>
    </w:tbl>
    <w:p w14:paraId="53067FF7" w14:textId="0DAA6B54" w:rsidR="00177FCA" w:rsidRPr="00662367" w:rsidRDefault="00177FCA" w:rsidP="00423445">
      <w:pPr>
        <w:pStyle w:val="Heading2"/>
      </w:pPr>
      <w:r w:rsidRPr="00662367">
        <w:t>Climate Change, Energy, the Environment and Water</w:t>
      </w:r>
    </w:p>
    <w:tbl>
      <w:tblPr>
        <w:tblW w:w="12840" w:type="dxa"/>
        <w:tblCellMar>
          <w:top w:w="15" w:type="dxa"/>
          <w:left w:w="15" w:type="dxa"/>
          <w:bottom w:w="15" w:type="dxa"/>
          <w:right w:w="15" w:type="dxa"/>
        </w:tblCellMar>
        <w:tblLook w:val="04A0" w:firstRow="1" w:lastRow="0" w:firstColumn="1" w:lastColumn="0" w:noHBand="0" w:noVBand="1"/>
      </w:tblPr>
      <w:tblGrid>
        <w:gridCol w:w="4959"/>
        <w:gridCol w:w="4011"/>
        <w:gridCol w:w="3870"/>
      </w:tblGrid>
      <w:tr w:rsidR="00177FCA" w:rsidRPr="00662367" w14:paraId="65923B0F" w14:textId="77777777" w:rsidTr="00AA1FF8">
        <w:trPr>
          <w:tblHeader/>
        </w:trPr>
        <w:tc>
          <w:tcPr>
            <w:tcW w:w="4959" w:type="dxa"/>
            <w:tcBorders>
              <w:top w:val="single" w:sz="2" w:space="0" w:color="auto"/>
              <w:left w:val="single" w:sz="2" w:space="0" w:color="auto"/>
              <w:bottom w:val="single" w:sz="2" w:space="0" w:color="auto"/>
              <w:right w:val="single" w:sz="2" w:space="0" w:color="auto"/>
            </w:tcBorders>
            <w:vAlign w:val="center"/>
            <w:hideMark/>
          </w:tcPr>
          <w:p w14:paraId="3B68110E" w14:textId="77777777" w:rsidR="00177FCA" w:rsidRPr="00662367" w:rsidRDefault="00177FCA">
            <w:pPr>
              <w:rPr>
                <w:b/>
                <w:bCs/>
              </w:rPr>
            </w:pPr>
            <w:r w:rsidRPr="00662367">
              <w:rPr>
                <w:b/>
                <w:bCs/>
              </w:rPr>
              <w:t>Title</w:t>
            </w:r>
          </w:p>
        </w:tc>
        <w:tc>
          <w:tcPr>
            <w:tcW w:w="4011" w:type="dxa"/>
            <w:tcBorders>
              <w:top w:val="single" w:sz="2" w:space="0" w:color="auto"/>
              <w:left w:val="single" w:sz="2" w:space="0" w:color="auto"/>
              <w:bottom w:val="single" w:sz="2" w:space="0" w:color="auto"/>
              <w:right w:val="single" w:sz="2" w:space="0" w:color="auto"/>
            </w:tcBorders>
            <w:vAlign w:val="center"/>
            <w:hideMark/>
          </w:tcPr>
          <w:p w14:paraId="22631643" w14:textId="77777777" w:rsidR="00177FCA" w:rsidRPr="00662367" w:rsidRDefault="00177FCA">
            <w:pPr>
              <w:rPr>
                <w:b/>
                <w:bCs/>
              </w:rPr>
            </w:pPr>
            <w:r w:rsidRPr="00662367">
              <w:rPr>
                <w:b/>
                <w:bCs/>
              </w:rPr>
              <w:t>Minister</w:t>
            </w:r>
          </w:p>
        </w:tc>
        <w:tc>
          <w:tcPr>
            <w:tcW w:w="3870" w:type="dxa"/>
            <w:tcBorders>
              <w:top w:val="single" w:sz="2" w:space="0" w:color="auto"/>
              <w:left w:val="single" w:sz="2" w:space="0" w:color="auto"/>
              <w:bottom w:val="single" w:sz="2" w:space="0" w:color="auto"/>
              <w:right w:val="single" w:sz="2" w:space="0" w:color="auto"/>
            </w:tcBorders>
            <w:vAlign w:val="center"/>
            <w:hideMark/>
          </w:tcPr>
          <w:p w14:paraId="4E59C974" w14:textId="77777777" w:rsidR="00177FCA" w:rsidRPr="00662367" w:rsidRDefault="00177FCA">
            <w:pPr>
              <w:rPr>
                <w:b/>
                <w:bCs/>
              </w:rPr>
            </w:pPr>
            <w:r w:rsidRPr="00662367">
              <w:rPr>
                <w:b/>
                <w:bCs/>
              </w:rPr>
              <w:t>Minister</w:t>
            </w:r>
          </w:p>
        </w:tc>
      </w:tr>
      <w:tr w:rsidR="00177FCA" w:rsidRPr="00662367" w14:paraId="7E1DE276" w14:textId="77777777" w:rsidTr="00AA1FF8">
        <w:tc>
          <w:tcPr>
            <w:tcW w:w="4959" w:type="dxa"/>
            <w:tcBorders>
              <w:top w:val="single" w:sz="2" w:space="0" w:color="auto"/>
              <w:left w:val="single" w:sz="2" w:space="0" w:color="auto"/>
              <w:bottom w:val="single" w:sz="2" w:space="0" w:color="auto"/>
              <w:right w:val="single" w:sz="2" w:space="0" w:color="auto"/>
            </w:tcBorders>
            <w:vAlign w:val="center"/>
            <w:hideMark/>
          </w:tcPr>
          <w:p w14:paraId="35F09913" w14:textId="77777777" w:rsidR="00177FCA" w:rsidRPr="00662367" w:rsidRDefault="00177FCA">
            <w:r w:rsidRPr="00662367">
              <w:rPr>
                <w:b/>
                <w:bCs/>
              </w:rPr>
              <w:t>Minister for Climate Change and Energy</w:t>
            </w:r>
          </w:p>
        </w:tc>
        <w:tc>
          <w:tcPr>
            <w:tcW w:w="4011" w:type="dxa"/>
            <w:tcBorders>
              <w:top w:val="single" w:sz="2" w:space="0" w:color="auto"/>
              <w:left w:val="single" w:sz="2" w:space="0" w:color="auto"/>
              <w:bottom w:val="single" w:sz="2" w:space="0" w:color="auto"/>
              <w:right w:val="single" w:sz="2" w:space="0" w:color="auto"/>
            </w:tcBorders>
            <w:vAlign w:val="center"/>
            <w:hideMark/>
          </w:tcPr>
          <w:p w14:paraId="6A2D3395" w14:textId="77777777" w:rsidR="00177FCA" w:rsidRPr="00662367" w:rsidRDefault="00177FCA">
            <w:r w:rsidRPr="00662367">
              <w:t>The Hon Chris Bowen MP</w:t>
            </w:r>
          </w:p>
        </w:tc>
        <w:tc>
          <w:tcPr>
            <w:tcW w:w="3870" w:type="dxa"/>
            <w:tcBorders>
              <w:top w:val="single" w:sz="2" w:space="0" w:color="auto"/>
              <w:left w:val="single" w:sz="2" w:space="0" w:color="auto"/>
              <w:bottom w:val="single" w:sz="2" w:space="0" w:color="auto"/>
              <w:right w:val="single" w:sz="2" w:space="0" w:color="auto"/>
            </w:tcBorders>
            <w:vAlign w:val="center"/>
            <w:hideMark/>
          </w:tcPr>
          <w:p w14:paraId="6320D87B" w14:textId="77777777" w:rsidR="00177FCA" w:rsidRPr="00662367" w:rsidRDefault="00177FCA">
            <w:r w:rsidRPr="00662367">
              <w:t>Senator the Hon Jenny McAllister</w:t>
            </w:r>
          </w:p>
        </w:tc>
      </w:tr>
      <w:tr w:rsidR="00177FCA" w:rsidRPr="00662367" w14:paraId="1BB7EA25" w14:textId="77777777" w:rsidTr="00AA1FF8">
        <w:tc>
          <w:tcPr>
            <w:tcW w:w="4959" w:type="dxa"/>
            <w:tcBorders>
              <w:top w:val="single" w:sz="2" w:space="0" w:color="auto"/>
              <w:left w:val="single" w:sz="2" w:space="0" w:color="auto"/>
              <w:bottom w:val="single" w:sz="2" w:space="0" w:color="auto"/>
              <w:right w:val="single" w:sz="2" w:space="0" w:color="auto"/>
            </w:tcBorders>
            <w:vAlign w:val="center"/>
            <w:hideMark/>
          </w:tcPr>
          <w:p w14:paraId="5B85CBC4" w14:textId="77777777" w:rsidR="00177FCA" w:rsidRPr="00662367" w:rsidRDefault="00177FCA">
            <w:r w:rsidRPr="00662367">
              <w:rPr>
                <w:b/>
                <w:bCs/>
              </w:rPr>
              <w:t>Minister for the Environment and Water</w:t>
            </w:r>
          </w:p>
        </w:tc>
        <w:tc>
          <w:tcPr>
            <w:tcW w:w="4011" w:type="dxa"/>
            <w:tcBorders>
              <w:top w:val="single" w:sz="2" w:space="0" w:color="auto"/>
              <w:left w:val="single" w:sz="2" w:space="0" w:color="auto"/>
              <w:bottom w:val="single" w:sz="2" w:space="0" w:color="auto"/>
              <w:right w:val="single" w:sz="2" w:space="0" w:color="auto"/>
            </w:tcBorders>
            <w:vAlign w:val="center"/>
            <w:hideMark/>
          </w:tcPr>
          <w:p w14:paraId="36E704A2" w14:textId="5AB6093D" w:rsidR="00177FCA" w:rsidRPr="00662367" w:rsidRDefault="00AA1FF8">
            <w:r>
              <w:t>Senator the Hon Murray Watt</w:t>
            </w:r>
          </w:p>
        </w:tc>
        <w:tc>
          <w:tcPr>
            <w:tcW w:w="3870" w:type="dxa"/>
            <w:tcBorders>
              <w:top w:val="single" w:sz="2" w:space="0" w:color="auto"/>
              <w:left w:val="single" w:sz="2" w:space="0" w:color="auto"/>
              <w:bottom w:val="single" w:sz="2" w:space="0" w:color="auto"/>
              <w:right w:val="single" w:sz="2" w:space="0" w:color="auto"/>
            </w:tcBorders>
            <w:vAlign w:val="center"/>
            <w:hideMark/>
          </w:tcPr>
          <w:p w14:paraId="57A979F1" w14:textId="77777777" w:rsidR="00177FCA" w:rsidRPr="00662367" w:rsidRDefault="00177FCA">
            <w:r w:rsidRPr="00662367">
              <w:t>Senator the Hon Jenny McAllister</w:t>
            </w:r>
          </w:p>
        </w:tc>
      </w:tr>
      <w:tr w:rsidR="00177FCA" w:rsidRPr="00662367" w14:paraId="19422B24" w14:textId="77777777" w:rsidTr="00AA1FF8">
        <w:tc>
          <w:tcPr>
            <w:tcW w:w="4959" w:type="dxa"/>
            <w:tcBorders>
              <w:top w:val="single" w:sz="2" w:space="0" w:color="auto"/>
              <w:left w:val="single" w:sz="2" w:space="0" w:color="auto"/>
              <w:bottom w:val="single" w:sz="2" w:space="0" w:color="auto"/>
              <w:right w:val="single" w:sz="2" w:space="0" w:color="auto"/>
            </w:tcBorders>
            <w:vAlign w:val="center"/>
            <w:hideMark/>
          </w:tcPr>
          <w:p w14:paraId="799E4DE0" w14:textId="77777777" w:rsidR="00177FCA" w:rsidRPr="00662367" w:rsidRDefault="00177FCA">
            <w:r w:rsidRPr="00662367">
              <w:rPr>
                <w:i/>
                <w:iCs/>
              </w:rPr>
              <w:t>Assistant Minister for Climate Change and Energy</w:t>
            </w:r>
          </w:p>
        </w:tc>
        <w:tc>
          <w:tcPr>
            <w:tcW w:w="4011" w:type="dxa"/>
            <w:tcBorders>
              <w:top w:val="single" w:sz="2" w:space="0" w:color="auto"/>
              <w:left w:val="single" w:sz="2" w:space="0" w:color="auto"/>
              <w:bottom w:val="single" w:sz="2" w:space="0" w:color="auto"/>
              <w:right w:val="single" w:sz="2" w:space="0" w:color="auto"/>
            </w:tcBorders>
            <w:vAlign w:val="center"/>
            <w:hideMark/>
          </w:tcPr>
          <w:p w14:paraId="491E92AB" w14:textId="77777777" w:rsidR="00177FCA" w:rsidRPr="00662367" w:rsidRDefault="00177FCA">
            <w:r w:rsidRPr="00662367">
              <w:rPr>
                <w:i/>
                <w:iCs/>
              </w:rPr>
              <w:t>The Hon Josh Wilson MP</w:t>
            </w:r>
          </w:p>
        </w:tc>
        <w:tc>
          <w:tcPr>
            <w:tcW w:w="3870" w:type="dxa"/>
            <w:tcBorders>
              <w:top w:val="single" w:sz="2" w:space="0" w:color="auto"/>
              <w:left w:val="single" w:sz="2" w:space="0" w:color="auto"/>
              <w:bottom w:val="single" w:sz="2" w:space="0" w:color="auto"/>
              <w:right w:val="single" w:sz="2" w:space="0" w:color="auto"/>
            </w:tcBorders>
            <w:vAlign w:val="center"/>
            <w:hideMark/>
          </w:tcPr>
          <w:p w14:paraId="34ED938C" w14:textId="77777777" w:rsidR="00177FCA" w:rsidRPr="00662367" w:rsidRDefault="00177FCA">
            <w:r w:rsidRPr="00662367">
              <w:t> </w:t>
            </w:r>
          </w:p>
        </w:tc>
      </w:tr>
    </w:tbl>
    <w:p w14:paraId="67AC2994" w14:textId="77777777" w:rsidR="00177FCA" w:rsidRPr="00662367" w:rsidRDefault="00177FCA" w:rsidP="00423445">
      <w:pPr>
        <w:pStyle w:val="Heading2"/>
      </w:pPr>
      <w:r w:rsidRPr="00662367">
        <w:t>Infrastructure, Transport, Regional Development, Communications and the Arts</w:t>
      </w:r>
    </w:p>
    <w:tbl>
      <w:tblPr>
        <w:tblW w:w="12840" w:type="dxa"/>
        <w:tblCellMar>
          <w:top w:w="15" w:type="dxa"/>
          <w:left w:w="15" w:type="dxa"/>
          <w:bottom w:w="15" w:type="dxa"/>
          <w:right w:w="15" w:type="dxa"/>
        </w:tblCellMar>
        <w:tblLook w:val="04A0" w:firstRow="1" w:lastRow="0" w:firstColumn="1" w:lastColumn="0" w:noHBand="0" w:noVBand="1"/>
      </w:tblPr>
      <w:tblGrid>
        <w:gridCol w:w="6893"/>
        <w:gridCol w:w="2891"/>
        <w:gridCol w:w="3056"/>
      </w:tblGrid>
      <w:tr w:rsidR="00177FCA" w:rsidRPr="00662367" w14:paraId="5AE16A97" w14:textId="77777777" w:rsidTr="00AA1FF8">
        <w:trPr>
          <w:tblHeader/>
        </w:trPr>
        <w:tc>
          <w:tcPr>
            <w:tcW w:w="6893" w:type="dxa"/>
            <w:tcBorders>
              <w:top w:val="single" w:sz="2" w:space="0" w:color="auto"/>
              <w:left w:val="single" w:sz="2" w:space="0" w:color="auto"/>
              <w:bottom w:val="single" w:sz="2" w:space="0" w:color="auto"/>
              <w:right w:val="single" w:sz="2" w:space="0" w:color="auto"/>
            </w:tcBorders>
            <w:vAlign w:val="center"/>
            <w:hideMark/>
          </w:tcPr>
          <w:p w14:paraId="52C40149" w14:textId="77777777" w:rsidR="00177FCA" w:rsidRPr="00662367" w:rsidRDefault="00177FCA">
            <w:pPr>
              <w:rPr>
                <w:b/>
                <w:bCs/>
              </w:rPr>
            </w:pPr>
            <w:r w:rsidRPr="00662367">
              <w:rPr>
                <w:b/>
                <w:bCs/>
              </w:rPr>
              <w:t>Title</w:t>
            </w:r>
          </w:p>
        </w:tc>
        <w:tc>
          <w:tcPr>
            <w:tcW w:w="2891" w:type="dxa"/>
            <w:tcBorders>
              <w:top w:val="single" w:sz="2" w:space="0" w:color="auto"/>
              <w:left w:val="single" w:sz="2" w:space="0" w:color="auto"/>
              <w:bottom w:val="single" w:sz="2" w:space="0" w:color="auto"/>
              <w:right w:val="single" w:sz="2" w:space="0" w:color="auto"/>
            </w:tcBorders>
            <w:vAlign w:val="center"/>
            <w:hideMark/>
          </w:tcPr>
          <w:p w14:paraId="44722449" w14:textId="77777777" w:rsidR="00177FCA" w:rsidRPr="00662367" w:rsidRDefault="00177FCA">
            <w:pPr>
              <w:rPr>
                <w:b/>
                <w:bCs/>
              </w:rPr>
            </w:pPr>
            <w:r w:rsidRPr="00662367">
              <w:rPr>
                <w:b/>
                <w:bCs/>
              </w:rPr>
              <w:t>Minister</w:t>
            </w:r>
          </w:p>
        </w:tc>
        <w:tc>
          <w:tcPr>
            <w:tcW w:w="3056" w:type="dxa"/>
            <w:tcBorders>
              <w:top w:val="single" w:sz="2" w:space="0" w:color="auto"/>
              <w:left w:val="single" w:sz="2" w:space="0" w:color="auto"/>
              <w:bottom w:val="single" w:sz="2" w:space="0" w:color="auto"/>
              <w:right w:val="single" w:sz="2" w:space="0" w:color="auto"/>
            </w:tcBorders>
            <w:vAlign w:val="center"/>
            <w:hideMark/>
          </w:tcPr>
          <w:p w14:paraId="69E6EB65" w14:textId="77777777" w:rsidR="00177FCA" w:rsidRPr="00662367" w:rsidRDefault="00177FCA">
            <w:pPr>
              <w:rPr>
                <w:b/>
                <w:bCs/>
              </w:rPr>
            </w:pPr>
            <w:r w:rsidRPr="00662367">
              <w:rPr>
                <w:b/>
                <w:bCs/>
              </w:rPr>
              <w:t>Other Chamber</w:t>
            </w:r>
          </w:p>
        </w:tc>
      </w:tr>
      <w:tr w:rsidR="00177FCA" w:rsidRPr="00662367" w14:paraId="276CD9E6"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14C30816" w14:textId="77777777" w:rsidR="00177FCA" w:rsidRPr="00662367" w:rsidRDefault="00177FCA">
            <w:r w:rsidRPr="00662367">
              <w:rPr>
                <w:b/>
                <w:bCs/>
              </w:rPr>
              <w:t>Minister for Infrastructure, Transport, Regional Development and Local Government</w:t>
            </w:r>
          </w:p>
        </w:tc>
        <w:tc>
          <w:tcPr>
            <w:tcW w:w="0" w:type="auto"/>
            <w:tcBorders>
              <w:top w:val="single" w:sz="2" w:space="0" w:color="auto"/>
              <w:left w:val="single" w:sz="2" w:space="0" w:color="auto"/>
              <w:bottom w:val="single" w:sz="2" w:space="0" w:color="auto"/>
              <w:right w:val="single" w:sz="2" w:space="0" w:color="auto"/>
            </w:tcBorders>
            <w:vAlign w:val="center"/>
            <w:hideMark/>
          </w:tcPr>
          <w:p w14:paraId="1919F6AE" w14:textId="77777777" w:rsidR="00177FCA" w:rsidRPr="00662367" w:rsidRDefault="00177FCA">
            <w:r w:rsidRPr="00662367">
              <w:t>The Hon Catherine King MP</w:t>
            </w:r>
          </w:p>
        </w:tc>
        <w:tc>
          <w:tcPr>
            <w:tcW w:w="0" w:type="auto"/>
            <w:tcBorders>
              <w:top w:val="single" w:sz="2" w:space="0" w:color="auto"/>
              <w:left w:val="single" w:sz="2" w:space="0" w:color="auto"/>
              <w:bottom w:val="single" w:sz="2" w:space="0" w:color="auto"/>
              <w:right w:val="single" w:sz="2" w:space="0" w:color="auto"/>
            </w:tcBorders>
            <w:vAlign w:val="center"/>
            <w:hideMark/>
          </w:tcPr>
          <w:p w14:paraId="14193E04" w14:textId="77777777" w:rsidR="00177FCA" w:rsidRPr="00662367" w:rsidRDefault="00177FCA">
            <w:r w:rsidRPr="00662367">
              <w:t>Senator the Hon Malarndirri McCarthy</w:t>
            </w:r>
          </w:p>
        </w:tc>
      </w:tr>
      <w:tr w:rsidR="00177FCA" w:rsidRPr="00662367" w14:paraId="26388252"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15F01A1C" w14:textId="77777777" w:rsidR="00177FCA" w:rsidRPr="00662367" w:rsidRDefault="00177FCA">
            <w:r w:rsidRPr="00662367">
              <w:rPr>
                <w:b/>
                <w:bCs/>
              </w:rPr>
              <w:t>Minister for Communications</w:t>
            </w:r>
          </w:p>
        </w:tc>
        <w:tc>
          <w:tcPr>
            <w:tcW w:w="0" w:type="auto"/>
            <w:tcBorders>
              <w:top w:val="single" w:sz="2" w:space="0" w:color="auto"/>
              <w:left w:val="single" w:sz="2" w:space="0" w:color="auto"/>
              <w:bottom w:val="single" w:sz="2" w:space="0" w:color="auto"/>
              <w:right w:val="single" w:sz="2" w:space="0" w:color="auto"/>
            </w:tcBorders>
            <w:vAlign w:val="center"/>
            <w:hideMark/>
          </w:tcPr>
          <w:p w14:paraId="37265793" w14:textId="77777777" w:rsidR="00177FCA" w:rsidRPr="00662367" w:rsidRDefault="00177FCA">
            <w:r w:rsidRPr="00662367">
              <w:t>The Hon Michelle Rowland MP</w:t>
            </w:r>
          </w:p>
        </w:tc>
        <w:tc>
          <w:tcPr>
            <w:tcW w:w="0" w:type="auto"/>
            <w:tcBorders>
              <w:top w:val="single" w:sz="2" w:space="0" w:color="auto"/>
              <w:left w:val="single" w:sz="2" w:space="0" w:color="auto"/>
              <w:bottom w:val="single" w:sz="2" w:space="0" w:color="auto"/>
              <w:right w:val="single" w:sz="2" w:space="0" w:color="auto"/>
            </w:tcBorders>
            <w:vAlign w:val="center"/>
            <w:hideMark/>
          </w:tcPr>
          <w:p w14:paraId="54FA6D1B" w14:textId="77777777" w:rsidR="00177FCA" w:rsidRPr="00662367" w:rsidRDefault="00177FCA">
            <w:r w:rsidRPr="00662367">
              <w:t>Senator the Hon Jenny McAllister</w:t>
            </w:r>
          </w:p>
        </w:tc>
      </w:tr>
      <w:tr w:rsidR="00177FCA" w:rsidRPr="00662367" w14:paraId="6DEC76FD"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5311EB19" w14:textId="77777777" w:rsidR="00177FCA" w:rsidRPr="00662367" w:rsidRDefault="00177FCA">
            <w:r w:rsidRPr="00662367">
              <w:rPr>
                <w:b/>
                <w:bCs/>
              </w:rPr>
              <w:t>Minister for Northern Australia</w:t>
            </w:r>
          </w:p>
        </w:tc>
        <w:tc>
          <w:tcPr>
            <w:tcW w:w="0" w:type="auto"/>
            <w:tcBorders>
              <w:top w:val="single" w:sz="2" w:space="0" w:color="auto"/>
              <w:left w:val="single" w:sz="2" w:space="0" w:color="auto"/>
              <w:bottom w:val="single" w:sz="2" w:space="0" w:color="auto"/>
              <w:right w:val="single" w:sz="2" w:space="0" w:color="auto"/>
            </w:tcBorders>
            <w:vAlign w:val="center"/>
            <w:hideMark/>
          </w:tcPr>
          <w:p w14:paraId="71750E06" w14:textId="77777777" w:rsidR="00177FCA" w:rsidRPr="00662367" w:rsidRDefault="00177FCA">
            <w:r w:rsidRPr="00662367">
              <w:t>The Hon Madeleine King MP</w:t>
            </w:r>
          </w:p>
        </w:tc>
        <w:tc>
          <w:tcPr>
            <w:tcW w:w="0" w:type="auto"/>
            <w:tcBorders>
              <w:top w:val="single" w:sz="2" w:space="0" w:color="auto"/>
              <w:left w:val="single" w:sz="2" w:space="0" w:color="auto"/>
              <w:bottom w:val="single" w:sz="2" w:space="0" w:color="auto"/>
              <w:right w:val="single" w:sz="2" w:space="0" w:color="auto"/>
            </w:tcBorders>
            <w:vAlign w:val="center"/>
            <w:hideMark/>
          </w:tcPr>
          <w:p w14:paraId="32A7E442" w14:textId="77777777" w:rsidR="00177FCA" w:rsidRPr="00662367" w:rsidRDefault="00177FCA">
            <w:r w:rsidRPr="00662367">
              <w:t>Senator the Hon Malarndirri McCarthy</w:t>
            </w:r>
          </w:p>
        </w:tc>
      </w:tr>
      <w:tr w:rsidR="00177FCA" w:rsidRPr="00662367" w14:paraId="02D54361"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239DBEE6" w14:textId="77777777" w:rsidR="00177FCA" w:rsidRPr="00662367" w:rsidRDefault="00177FCA">
            <w:r w:rsidRPr="00662367">
              <w:t>Minister for Regional Development, Local Government and Territories</w:t>
            </w:r>
          </w:p>
        </w:tc>
        <w:tc>
          <w:tcPr>
            <w:tcW w:w="0" w:type="auto"/>
            <w:tcBorders>
              <w:top w:val="single" w:sz="2" w:space="0" w:color="auto"/>
              <w:left w:val="single" w:sz="2" w:space="0" w:color="auto"/>
              <w:bottom w:val="single" w:sz="2" w:space="0" w:color="auto"/>
              <w:right w:val="single" w:sz="2" w:space="0" w:color="auto"/>
            </w:tcBorders>
            <w:vAlign w:val="center"/>
            <w:hideMark/>
          </w:tcPr>
          <w:p w14:paraId="75B1421C" w14:textId="77777777" w:rsidR="00177FCA" w:rsidRPr="00662367" w:rsidRDefault="00177FCA">
            <w:r w:rsidRPr="00662367">
              <w:t>The Hon Kristy McBain MP</w:t>
            </w:r>
          </w:p>
        </w:tc>
        <w:tc>
          <w:tcPr>
            <w:tcW w:w="0" w:type="auto"/>
            <w:tcBorders>
              <w:top w:val="single" w:sz="2" w:space="0" w:color="auto"/>
              <w:left w:val="single" w:sz="2" w:space="0" w:color="auto"/>
              <w:bottom w:val="single" w:sz="2" w:space="0" w:color="auto"/>
              <w:right w:val="single" w:sz="2" w:space="0" w:color="auto"/>
            </w:tcBorders>
            <w:vAlign w:val="center"/>
            <w:hideMark/>
          </w:tcPr>
          <w:p w14:paraId="2C423418" w14:textId="77777777" w:rsidR="00177FCA" w:rsidRPr="00662367" w:rsidRDefault="00177FCA">
            <w:r w:rsidRPr="00662367">
              <w:t>Senator the Hon Malarndirri McCarthy</w:t>
            </w:r>
          </w:p>
        </w:tc>
      </w:tr>
      <w:tr w:rsidR="00177FCA" w:rsidRPr="00AA1FF8" w14:paraId="15B24C65"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24CE2FC7" w14:textId="77777777" w:rsidR="00177FCA" w:rsidRPr="00AA1FF8" w:rsidRDefault="00177FCA">
            <w:r w:rsidRPr="00AA1FF8">
              <w:t>Assistant Minister for Regional Development</w:t>
            </w:r>
          </w:p>
        </w:tc>
        <w:tc>
          <w:tcPr>
            <w:tcW w:w="0" w:type="auto"/>
            <w:tcBorders>
              <w:top w:val="single" w:sz="2" w:space="0" w:color="auto"/>
              <w:left w:val="single" w:sz="2" w:space="0" w:color="auto"/>
              <w:bottom w:val="single" w:sz="2" w:space="0" w:color="auto"/>
              <w:right w:val="single" w:sz="2" w:space="0" w:color="auto"/>
            </w:tcBorders>
            <w:vAlign w:val="center"/>
            <w:hideMark/>
          </w:tcPr>
          <w:p w14:paraId="150BB2EC" w14:textId="77777777" w:rsidR="00177FCA" w:rsidRPr="00AA1FF8" w:rsidRDefault="00177FCA">
            <w:r w:rsidRPr="00AA1FF8">
              <w:t>Senator the Hon Anthony Chisholm</w:t>
            </w:r>
          </w:p>
        </w:tc>
        <w:tc>
          <w:tcPr>
            <w:tcW w:w="0" w:type="auto"/>
            <w:tcBorders>
              <w:top w:val="single" w:sz="2" w:space="0" w:color="auto"/>
              <w:left w:val="single" w:sz="2" w:space="0" w:color="auto"/>
              <w:bottom w:val="single" w:sz="2" w:space="0" w:color="auto"/>
              <w:right w:val="single" w:sz="2" w:space="0" w:color="auto"/>
            </w:tcBorders>
            <w:vAlign w:val="center"/>
            <w:hideMark/>
          </w:tcPr>
          <w:p w14:paraId="7CDBC21A" w14:textId="77777777" w:rsidR="00177FCA" w:rsidRPr="00AA1FF8" w:rsidRDefault="00177FCA">
            <w:r w:rsidRPr="00AA1FF8">
              <w:t> </w:t>
            </w:r>
          </w:p>
        </w:tc>
      </w:tr>
    </w:tbl>
    <w:p w14:paraId="3B611BE8" w14:textId="57FE99A5" w:rsidR="00423445" w:rsidRPr="00662367" w:rsidRDefault="00AA1FF8" w:rsidP="00AA1FF8">
      <w:pPr>
        <w:pStyle w:val="Heading2"/>
      </w:pPr>
      <w:r>
        <w:t>Prime Minister</w:t>
      </w:r>
    </w:p>
    <w:tbl>
      <w:tblPr>
        <w:tblW w:w="12840" w:type="dxa"/>
        <w:tblCellMar>
          <w:top w:w="15" w:type="dxa"/>
          <w:left w:w="15" w:type="dxa"/>
          <w:bottom w:w="15" w:type="dxa"/>
          <w:right w:w="15" w:type="dxa"/>
        </w:tblCellMar>
        <w:tblLook w:val="04A0" w:firstRow="1" w:lastRow="0" w:firstColumn="1" w:lastColumn="0" w:noHBand="0" w:noVBand="1"/>
      </w:tblPr>
      <w:tblGrid>
        <w:gridCol w:w="6943"/>
        <w:gridCol w:w="2835"/>
        <w:gridCol w:w="3062"/>
      </w:tblGrid>
      <w:tr w:rsidR="00423445" w:rsidRPr="00662367" w14:paraId="40279D48" w14:textId="77777777" w:rsidTr="00AA1FF8">
        <w:tc>
          <w:tcPr>
            <w:tcW w:w="6943" w:type="dxa"/>
            <w:tcBorders>
              <w:top w:val="single" w:sz="2" w:space="0" w:color="auto"/>
              <w:left w:val="single" w:sz="2" w:space="0" w:color="auto"/>
              <w:bottom w:val="single" w:sz="2" w:space="0" w:color="auto"/>
              <w:right w:val="single" w:sz="2" w:space="0" w:color="auto"/>
            </w:tcBorders>
            <w:vAlign w:val="center"/>
            <w:hideMark/>
          </w:tcPr>
          <w:p w14:paraId="17786448" w14:textId="77777777" w:rsidR="00423445" w:rsidRPr="00662367" w:rsidRDefault="00423445">
            <w:r w:rsidRPr="00662367">
              <w:rPr>
                <w:b/>
                <w:bCs/>
              </w:rPr>
              <w:t>Prime Minister</w:t>
            </w:r>
          </w:p>
        </w:tc>
        <w:tc>
          <w:tcPr>
            <w:tcW w:w="2835" w:type="dxa"/>
            <w:tcBorders>
              <w:top w:val="single" w:sz="2" w:space="0" w:color="auto"/>
              <w:left w:val="single" w:sz="2" w:space="0" w:color="auto"/>
              <w:bottom w:val="single" w:sz="2" w:space="0" w:color="auto"/>
              <w:right w:val="single" w:sz="2" w:space="0" w:color="auto"/>
            </w:tcBorders>
            <w:vAlign w:val="center"/>
            <w:hideMark/>
          </w:tcPr>
          <w:p w14:paraId="00ABDF33" w14:textId="77777777" w:rsidR="00423445" w:rsidRPr="00662367" w:rsidRDefault="00423445">
            <w:r w:rsidRPr="00662367">
              <w:t>The Hon Anthony Albanese MP</w:t>
            </w:r>
          </w:p>
        </w:tc>
        <w:tc>
          <w:tcPr>
            <w:tcW w:w="3062" w:type="dxa"/>
            <w:tcBorders>
              <w:top w:val="single" w:sz="2" w:space="0" w:color="auto"/>
              <w:left w:val="single" w:sz="2" w:space="0" w:color="auto"/>
              <w:bottom w:val="single" w:sz="2" w:space="0" w:color="auto"/>
              <w:right w:val="single" w:sz="2" w:space="0" w:color="auto"/>
            </w:tcBorders>
            <w:vAlign w:val="center"/>
            <w:hideMark/>
          </w:tcPr>
          <w:p w14:paraId="5C9E4E1D" w14:textId="77777777" w:rsidR="00423445" w:rsidRPr="00662367" w:rsidRDefault="00423445">
            <w:r w:rsidRPr="00662367">
              <w:t>Senator the Hon Penny Wong</w:t>
            </w:r>
          </w:p>
        </w:tc>
      </w:tr>
    </w:tbl>
    <w:p w14:paraId="2933BE64" w14:textId="05236EDF" w:rsidR="00177FCA" w:rsidRPr="00662367" w:rsidRDefault="00177FCA" w:rsidP="00177FCA"/>
    <w:p w14:paraId="411BBC79" w14:textId="77777777" w:rsidR="00177FCA" w:rsidRPr="00662367" w:rsidRDefault="00177FCA" w:rsidP="00303565">
      <w:pPr>
        <w:pStyle w:val="Heading2"/>
      </w:pPr>
      <w:r w:rsidRPr="00662367">
        <w:t>Education</w:t>
      </w:r>
    </w:p>
    <w:tbl>
      <w:tblPr>
        <w:tblW w:w="12840" w:type="dxa"/>
        <w:tblCellMar>
          <w:top w:w="15" w:type="dxa"/>
          <w:left w:w="15" w:type="dxa"/>
          <w:bottom w:w="15" w:type="dxa"/>
          <w:right w:w="15" w:type="dxa"/>
        </w:tblCellMar>
        <w:tblLook w:val="04A0" w:firstRow="1" w:lastRow="0" w:firstColumn="1" w:lastColumn="0" w:noHBand="0" w:noVBand="1"/>
      </w:tblPr>
      <w:tblGrid>
        <w:gridCol w:w="4280"/>
        <w:gridCol w:w="4280"/>
        <w:gridCol w:w="4280"/>
      </w:tblGrid>
      <w:tr w:rsidR="00177FCA" w:rsidRPr="00662367" w14:paraId="2CC47DCB" w14:textId="77777777">
        <w:trPr>
          <w:tblHeader/>
        </w:trPr>
        <w:tc>
          <w:tcPr>
            <w:tcW w:w="4280" w:type="dxa"/>
            <w:tcBorders>
              <w:top w:val="single" w:sz="2" w:space="0" w:color="auto"/>
              <w:left w:val="single" w:sz="2" w:space="0" w:color="auto"/>
              <w:bottom w:val="single" w:sz="2" w:space="0" w:color="auto"/>
              <w:right w:val="single" w:sz="2" w:space="0" w:color="auto"/>
            </w:tcBorders>
            <w:vAlign w:val="center"/>
            <w:hideMark/>
          </w:tcPr>
          <w:p w14:paraId="601A45FF" w14:textId="77777777" w:rsidR="00177FCA" w:rsidRPr="00662367" w:rsidRDefault="00177FCA">
            <w:pPr>
              <w:rPr>
                <w:b/>
                <w:bCs/>
              </w:rPr>
            </w:pPr>
            <w:r w:rsidRPr="00662367">
              <w:rPr>
                <w:b/>
                <w:bCs/>
              </w:rPr>
              <w:t>Title</w:t>
            </w:r>
          </w:p>
        </w:tc>
        <w:tc>
          <w:tcPr>
            <w:tcW w:w="4280" w:type="dxa"/>
            <w:tcBorders>
              <w:top w:val="single" w:sz="2" w:space="0" w:color="auto"/>
              <w:left w:val="single" w:sz="2" w:space="0" w:color="auto"/>
              <w:bottom w:val="single" w:sz="2" w:space="0" w:color="auto"/>
              <w:right w:val="single" w:sz="2" w:space="0" w:color="auto"/>
            </w:tcBorders>
            <w:vAlign w:val="center"/>
            <w:hideMark/>
          </w:tcPr>
          <w:p w14:paraId="6AFC31E2" w14:textId="77777777" w:rsidR="00177FCA" w:rsidRPr="00662367" w:rsidRDefault="00177FCA">
            <w:pPr>
              <w:rPr>
                <w:b/>
                <w:bCs/>
              </w:rPr>
            </w:pPr>
            <w:r w:rsidRPr="00662367">
              <w:rPr>
                <w:b/>
                <w:bCs/>
              </w:rPr>
              <w:t>Minister</w:t>
            </w:r>
          </w:p>
        </w:tc>
        <w:tc>
          <w:tcPr>
            <w:tcW w:w="4280" w:type="dxa"/>
            <w:tcBorders>
              <w:top w:val="single" w:sz="2" w:space="0" w:color="auto"/>
              <w:left w:val="single" w:sz="2" w:space="0" w:color="auto"/>
              <w:bottom w:val="single" w:sz="2" w:space="0" w:color="auto"/>
              <w:right w:val="single" w:sz="2" w:space="0" w:color="auto"/>
            </w:tcBorders>
            <w:vAlign w:val="center"/>
            <w:hideMark/>
          </w:tcPr>
          <w:p w14:paraId="68129AAB" w14:textId="77777777" w:rsidR="00177FCA" w:rsidRPr="00662367" w:rsidRDefault="00177FCA">
            <w:pPr>
              <w:rPr>
                <w:b/>
                <w:bCs/>
              </w:rPr>
            </w:pPr>
            <w:r w:rsidRPr="00662367">
              <w:rPr>
                <w:b/>
                <w:bCs/>
              </w:rPr>
              <w:t>Other Chamber</w:t>
            </w:r>
          </w:p>
        </w:tc>
      </w:tr>
      <w:tr w:rsidR="00177FCA" w:rsidRPr="00662367" w14:paraId="6768A65A"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091AAF43" w14:textId="77777777" w:rsidR="00177FCA" w:rsidRPr="00662367" w:rsidRDefault="00177FCA">
            <w:r w:rsidRPr="00662367">
              <w:rPr>
                <w:b/>
                <w:bCs/>
              </w:rPr>
              <w:t>Minister for Education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5FC26100" w14:textId="77777777" w:rsidR="00177FCA" w:rsidRPr="00662367" w:rsidRDefault="00177FCA">
            <w:r w:rsidRPr="00662367">
              <w:t>The Hon Jason Clare MP</w:t>
            </w:r>
          </w:p>
        </w:tc>
        <w:tc>
          <w:tcPr>
            <w:tcW w:w="0" w:type="auto"/>
            <w:tcBorders>
              <w:top w:val="single" w:sz="2" w:space="0" w:color="auto"/>
              <w:left w:val="single" w:sz="2" w:space="0" w:color="auto"/>
              <w:bottom w:val="single" w:sz="2" w:space="0" w:color="auto"/>
              <w:right w:val="single" w:sz="2" w:space="0" w:color="auto"/>
            </w:tcBorders>
            <w:vAlign w:val="center"/>
            <w:hideMark/>
          </w:tcPr>
          <w:p w14:paraId="3F1017AA" w14:textId="77777777" w:rsidR="00177FCA" w:rsidRPr="00662367" w:rsidRDefault="00177FCA">
            <w:r w:rsidRPr="00662367">
              <w:t>Senator the Hon Murray Watt</w:t>
            </w:r>
          </w:p>
        </w:tc>
      </w:tr>
      <w:tr w:rsidR="00177FCA" w:rsidRPr="00662367" w14:paraId="498DDE05"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34C2C37B" w14:textId="77777777" w:rsidR="00177FCA" w:rsidRPr="00662367" w:rsidRDefault="00177FCA">
            <w:r w:rsidRPr="00662367">
              <w:t>Minister for Early Childhood Education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2ED21808" w14:textId="77777777" w:rsidR="00177FCA" w:rsidRPr="00662367" w:rsidRDefault="00177FCA">
            <w:r w:rsidRPr="00662367">
              <w:t>The Hon Dr Anne Aly MP</w:t>
            </w:r>
          </w:p>
        </w:tc>
        <w:tc>
          <w:tcPr>
            <w:tcW w:w="0" w:type="auto"/>
            <w:tcBorders>
              <w:top w:val="single" w:sz="2" w:space="0" w:color="auto"/>
              <w:left w:val="single" w:sz="2" w:space="0" w:color="auto"/>
              <w:bottom w:val="single" w:sz="2" w:space="0" w:color="auto"/>
              <w:right w:val="single" w:sz="2" w:space="0" w:color="auto"/>
            </w:tcBorders>
            <w:vAlign w:val="center"/>
            <w:hideMark/>
          </w:tcPr>
          <w:p w14:paraId="4CF0B649" w14:textId="77777777" w:rsidR="00177FCA" w:rsidRPr="00662367" w:rsidRDefault="00177FCA">
            <w:r w:rsidRPr="00662367">
              <w:t>Senator the Hon Murray Watt</w:t>
            </w:r>
          </w:p>
        </w:tc>
      </w:tr>
      <w:tr w:rsidR="00177FCA" w:rsidRPr="00662367" w14:paraId="0C77ECE4"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628B34F0" w14:textId="77777777" w:rsidR="00177FCA" w:rsidRPr="00662367" w:rsidRDefault="00177FCA">
            <w:r w:rsidRPr="00662367">
              <w:t>Minister for Youth</w:t>
            </w:r>
          </w:p>
        </w:tc>
        <w:tc>
          <w:tcPr>
            <w:tcW w:w="0" w:type="auto"/>
            <w:tcBorders>
              <w:top w:val="single" w:sz="2" w:space="0" w:color="auto"/>
              <w:left w:val="single" w:sz="2" w:space="0" w:color="auto"/>
              <w:bottom w:val="single" w:sz="2" w:space="0" w:color="auto"/>
              <w:right w:val="single" w:sz="2" w:space="0" w:color="auto"/>
            </w:tcBorders>
            <w:vAlign w:val="center"/>
            <w:hideMark/>
          </w:tcPr>
          <w:p w14:paraId="117AD433" w14:textId="77777777" w:rsidR="00177FCA" w:rsidRPr="00662367" w:rsidRDefault="00177FCA">
            <w:r w:rsidRPr="00662367">
              <w:t>The Hon Dr Anne Aly MP</w:t>
            </w:r>
          </w:p>
        </w:tc>
        <w:tc>
          <w:tcPr>
            <w:tcW w:w="0" w:type="auto"/>
            <w:tcBorders>
              <w:top w:val="single" w:sz="2" w:space="0" w:color="auto"/>
              <w:left w:val="single" w:sz="2" w:space="0" w:color="auto"/>
              <w:bottom w:val="single" w:sz="2" w:space="0" w:color="auto"/>
              <w:right w:val="single" w:sz="2" w:space="0" w:color="auto"/>
            </w:tcBorders>
            <w:vAlign w:val="center"/>
            <w:hideMark/>
          </w:tcPr>
          <w:p w14:paraId="302B696B" w14:textId="77777777" w:rsidR="00177FCA" w:rsidRPr="00662367" w:rsidRDefault="00177FCA">
            <w:r w:rsidRPr="00662367">
              <w:t>Senator the Hon Murray Watt</w:t>
            </w:r>
          </w:p>
        </w:tc>
      </w:tr>
      <w:tr w:rsidR="00177FCA" w:rsidRPr="00AA1FF8" w14:paraId="3642860E"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6FC79116" w14:textId="77777777" w:rsidR="00177FCA" w:rsidRPr="00AA1FF8" w:rsidRDefault="00177FCA">
            <w:r w:rsidRPr="00AA1FF8">
              <w:t>Assistant Minister for Education</w:t>
            </w:r>
          </w:p>
        </w:tc>
        <w:tc>
          <w:tcPr>
            <w:tcW w:w="0" w:type="auto"/>
            <w:tcBorders>
              <w:top w:val="single" w:sz="2" w:space="0" w:color="auto"/>
              <w:left w:val="single" w:sz="2" w:space="0" w:color="auto"/>
              <w:bottom w:val="single" w:sz="2" w:space="0" w:color="auto"/>
              <w:right w:val="single" w:sz="2" w:space="0" w:color="auto"/>
            </w:tcBorders>
            <w:vAlign w:val="center"/>
            <w:hideMark/>
          </w:tcPr>
          <w:p w14:paraId="5615E3EA" w14:textId="77777777" w:rsidR="00177FCA" w:rsidRPr="00AA1FF8" w:rsidRDefault="00177FCA">
            <w:r w:rsidRPr="00AA1FF8">
              <w:t>Senator the Hon Anthony Chisholm</w:t>
            </w:r>
          </w:p>
        </w:tc>
        <w:tc>
          <w:tcPr>
            <w:tcW w:w="0" w:type="auto"/>
            <w:tcBorders>
              <w:top w:val="single" w:sz="2" w:space="0" w:color="auto"/>
              <w:left w:val="single" w:sz="2" w:space="0" w:color="auto"/>
              <w:bottom w:val="single" w:sz="2" w:space="0" w:color="auto"/>
              <w:right w:val="single" w:sz="2" w:space="0" w:color="auto"/>
            </w:tcBorders>
            <w:vAlign w:val="center"/>
            <w:hideMark/>
          </w:tcPr>
          <w:p w14:paraId="20D569A4" w14:textId="77777777" w:rsidR="00177FCA" w:rsidRPr="00AA1FF8" w:rsidRDefault="00177FCA">
            <w:r w:rsidRPr="00AA1FF8">
              <w:t> </w:t>
            </w:r>
          </w:p>
        </w:tc>
      </w:tr>
    </w:tbl>
    <w:p w14:paraId="2F001803" w14:textId="77777777" w:rsidR="00177FCA" w:rsidRPr="00662367" w:rsidRDefault="00177FCA" w:rsidP="00303565">
      <w:pPr>
        <w:pStyle w:val="Heading2"/>
      </w:pPr>
      <w:r w:rsidRPr="00662367">
        <w:t>Employment and Workplace Relations</w:t>
      </w:r>
    </w:p>
    <w:tbl>
      <w:tblPr>
        <w:tblW w:w="12840" w:type="dxa"/>
        <w:tblCellMar>
          <w:top w:w="15" w:type="dxa"/>
          <w:left w:w="15" w:type="dxa"/>
          <w:bottom w:w="15" w:type="dxa"/>
          <w:right w:w="15" w:type="dxa"/>
        </w:tblCellMar>
        <w:tblLook w:val="04A0" w:firstRow="1" w:lastRow="0" w:firstColumn="1" w:lastColumn="0" w:noHBand="0" w:noVBand="1"/>
      </w:tblPr>
      <w:tblGrid>
        <w:gridCol w:w="4768"/>
        <w:gridCol w:w="4033"/>
        <w:gridCol w:w="4039"/>
      </w:tblGrid>
      <w:tr w:rsidR="00177FCA" w:rsidRPr="00662367" w14:paraId="05D579AC" w14:textId="77777777">
        <w:trPr>
          <w:tblHeader/>
        </w:trPr>
        <w:tc>
          <w:tcPr>
            <w:tcW w:w="4280" w:type="dxa"/>
            <w:tcBorders>
              <w:top w:val="single" w:sz="2" w:space="0" w:color="auto"/>
              <w:left w:val="single" w:sz="2" w:space="0" w:color="auto"/>
              <w:bottom w:val="single" w:sz="2" w:space="0" w:color="auto"/>
              <w:right w:val="single" w:sz="2" w:space="0" w:color="auto"/>
            </w:tcBorders>
            <w:vAlign w:val="center"/>
            <w:hideMark/>
          </w:tcPr>
          <w:p w14:paraId="31A5F532" w14:textId="77777777" w:rsidR="00177FCA" w:rsidRPr="00662367" w:rsidRDefault="00177FCA">
            <w:pPr>
              <w:rPr>
                <w:b/>
                <w:bCs/>
              </w:rPr>
            </w:pPr>
            <w:r w:rsidRPr="00662367">
              <w:rPr>
                <w:b/>
                <w:bCs/>
              </w:rPr>
              <w:t>Title</w:t>
            </w:r>
          </w:p>
        </w:tc>
        <w:tc>
          <w:tcPr>
            <w:tcW w:w="4280" w:type="dxa"/>
            <w:tcBorders>
              <w:top w:val="single" w:sz="2" w:space="0" w:color="auto"/>
              <w:left w:val="single" w:sz="2" w:space="0" w:color="auto"/>
              <w:bottom w:val="single" w:sz="2" w:space="0" w:color="auto"/>
              <w:right w:val="single" w:sz="2" w:space="0" w:color="auto"/>
            </w:tcBorders>
            <w:vAlign w:val="center"/>
            <w:hideMark/>
          </w:tcPr>
          <w:p w14:paraId="46BC4B4B" w14:textId="77777777" w:rsidR="00177FCA" w:rsidRPr="00662367" w:rsidRDefault="00177FCA">
            <w:pPr>
              <w:rPr>
                <w:b/>
                <w:bCs/>
              </w:rPr>
            </w:pPr>
            <w:r w:rsidRPr="00662367">
              <w:rPr>
                <w:b/>
                <w:bCs/>
              </w:rPr>
              <w:t>Minister</w:t>
            </w:r>
          </w:p>
        </w:tc>
        <w:tc>
          <w:tcPr>
            <w:tcW w:w="4280" w:type="dxa"/>
            <w:tcBorders>
              <w:top w:val="single" w:sz="2" w:space="0" w:color="auto"/>
              <w:left w:val="single" w:sz="2" w:space="0" w:color="auto"/>
              <w:bottom w:val="single" w:sz="2" w:space="0" w:color="auto"/>
              <w:right w:val="single" w:sz="2" w:space="0" w:color="auto"/>
            </w:tcBorders>
            <w:vAlign w:val="center"/>
            <w:hideMark/>
          </w:tcPr>
          <w:p w14:paraId="40A144B4" w14:textId="77777777" w:rsidR="00177FCA" w:rsidRPr="00662367" w:rsidRDefault="00177FCA">
            <w:pPr>
              <w:rPr>
                <w:b/>
                <w:bCs/>
              </w:rPr>
            </w:pPr>
            <w:r w:rsidRPr="00662367">
              <w:rPr>
                <w:b/>
                <w:bCs/>
              </w:rPr>
              <w:t>Other Chamber</w:t>
            </w:r>
          </w:p>
        </w:tc>
      </w:tr>
      <w:tr w:rsidR="00177FCA" w:rsidRPr="00662367" w14:paraId="2A382D14"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69A96B83" w14:textId="77777777" w:rsidR="00177FCA" w:rsidRPr="00662367" w:rsidRDefault="00177FCA">
            <w:r w:rsidRPr="00662367">
              <w:rPr>
                <w:b/>
                <w:bCs/>
              </w:rPr>
              <w:t>Minister for Employment and Workplace Relations</w:t>
            </w:r>
          </w:p>
        </w:tc>
        <w:tc>
          <w:tcPr>
            <w:tcW w:w="0" w:type="auto"/>
            <w:tcBorders>
              <w:top w:val="single" w:sz="2" w:space="0" w:color="auto"/>
              <w:left w:val="single" w:sz="2" w:space="0" w:color="auto"/>
              <w:bottom w:val="single" w:sz="2" w:space="0" w:color="auto"/>
              <w:right w:val="single" w:sz="2" w:space="0" w:color="auto"/>
            </w:tcBorders>
            <w:vAlign w:val="center"/>
            <w:hideMark/>
          </w:tcPr>
          <w:p w14:paraId="238E6AFD" w14:textId="77777777" w:rsidR="00177FCA" w:rsidRPr="00662367" w:rsidRDefault="00177FCA">
            <w:r w:rsidRPr="00662367">
              <w:t>Senator the Hon Murray Watt</w:t>
            </w:r>
          </w:p>
        </w:tc>
        <w:tc>
          <w:tcPr>
            <w:tcW w:w="0" w:type="auto"/>
            <w:tcBorders>
              <w:top w:val="single" w:sz="2" w:space="0" w:color="auto"/>
              <w:left w:val="single" w:sz="2" w:space="0" w:color="auto"/>
              <w:bottom w:val="single" w:sz="2" w:space="0" w:color="auto"/>
              <w:right w:val="single" w:sz="2" w:space="0" w:color="auto"/>
            </w:tcBorders>
            <w:vAlign w:val="center"/>
            <w:hideMark/>
          </w:tcPr>
          <w:p w14:paraId="29AB430E" w14:textId="77777777" w:rsidR="00177FCA" w:rsidRPr="00662367" w:rsidRDefault="00177FCA">
            <w:r w:rsidRPr="00662367">
              <w:t>The Hon Tony Burke MP</w:t>
            </w:r>
          </w:p>
        </w:tc>
      </w:tr>
      <w:tr w:rsidR="00177FCA" w:rsidRPr="00662367" w14:paraId="32431F33"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48262C8F" w14:textId="77777777" w:rsidR="00177FCA" w:rsidRPr="00662367" w:rsidRDefault="00177FCA">
            <w:r w:rsidRPr="00662367">
              <w:t>Minister for Skills and Training</w:t>
            </w:r>
          </w:p>
        </w:tc>
        <w:tc>
          <w:tcPr>
            <w:tcW w:w="0" w:type="auto"/>
            <w:tcBorders>
              <w:top w:val="single" w:sz="2" w:space="0" w:color="auto"/>
              <w:left w:val="single" w:sz="2" w:space="0" w:color="auto"/>
              <w:bottom w:val="single" w:sz="2" w:space="0" w:color="auto"/>
              <w:right w:val="single" w:sz="2" w:space="0" w:color="auto"/>
            </w:tcBorders>
            <w:vAlign w:val="center"/>
            <w:hideMark/>
          </w:tcPr>
          <w:p w14:paraId="7B88510C" w14:textId="77777777" w:rsidR="00177FCA" w:rsidRPr="00662367" w:rsidRDefault="00177FCA">
            <w:r w:rsidRPr="00662367">
              <w:t>The Hon Andrew Giles MP</w:t>
            </w:r>
          </w:p>
        </w:tc>
        <w:tc>
          <w:tcPr>
            <w:tcW w:w="0" w:type="auto"/>
            <w:tcBorders>
              <w:top w:val="single" w:sz="2" w:space="0" w:color="auto"/>
              <w:left w:val="single" w:sz="2" w:space="0" w:color="auto"/>
              <w:bottom w:val="single" w:sz="2" w:space="0" w:color="auto"/>
              <w:right w:val="single" w:sz="2" w:space="0" w:color="auto"/>
            </w:tcBorders>
            <w:vAlign w:val="center"/>
            <w:hideMark/>
          </w:tcPr>
          <w:p w14:paraId="379A372A" w14:textId="77777777" w:rsidR="00177FCA" w:rsidRPr="00662367" w:rsidRDefault="00177FCA">
            <w:r w:rsidRPr="00662367">
              <w:t>Senator the Hon Murray Watt</w:t>
            </w:r>
          </w:p>
        </w:tc>
      </w:tr>
      <w:tr w:rsidR="00177FCA" w:rsidRPr="00AA1FF8" w14:paraId="432179AE" w14:textId="77777777">
        <w:tc>
          <w:tcPr>
            <w:tcW w:w="0" w:type="auto"/>
            <w:tcBorders>
              <w:top w:val="single" w:sz="2" w:space="0" w:color="auto"/>
              <w:left w:val="single" w:sz="2" w:space="0" w:color="auto"/>
              <w:bottom w:val="single" w:sz="2" w:space="0" w:color="auto"/>
              <w:right w:val="single" w:sz="2" w:space="0" w:color="auto"/>
            </w:tcBorders>
            <w:vAlign w:val="center"/>
            <w:hideMark/>
          </w:tcPr>
          <w:p w14:paraId="5410B24E" w14:textId="77777777" w:rsidR="00177FCA" w:rsidRPr="00AA1FF8" w:rsidRDefault="00177FCA">
            <w:r w:rsidRPr="00AA1FF8">
              <w:t>Assistant Minister for Employment</w:t>
            </w:r>
          </w:p>
        </w:tc>
        <w:tc>
          <w:tcPr>
            <w:tcW w:w="0" w:type="auto"/>
            <w:tcBorders>
              <w:top w:val="single" w:sz="2" w:space="0" w:color="auto"/>
              <w:left w:val="single" w:sz="2" w:space="0" w:color="auto"/>
              <w:bottom w:val="single" w:sz="2" w:space="0" w:color="auto"/>
              <w:right w:val="single" w:sz="2" w:space="0" w:color="auto"/>
            </w:tcBorders>
            <w:vAlign w:val="center"/>
            <w:hideMark/>
          </w:tcPr>
          <w:p w14:paraId="1F953ED1" w14:textId="77777777" w:rsidR="00177FCA" w:rsidRPr="00AA1FF8" w:rsidRDefault="00177FCA">
            <w:r w:rsidRPr="00AA1FF8">
              <w:t>The Hon Dr Andrew Leigh MP</w:t>
            </w:r>
          </w:p>
        </w:tc>
        <w:tc>
          <w:tcPr>
            <w:tcW w:w="0" w:type="auto"/>
            <w:tcBorders>
              <w:top w:val="single" w:sz="2" w:space="0" w:color="auto"/>
              <w:left w:val="single" w:sz="2" w:space="0" w:color="auto"/>
              <w:bottom w:val="single" w:sz="2" w:space="0" w:color="auto"/>
              <w:right w:val="single" w:sz="2" w:space="0" w:color="auto"/>
            </w:tcBorders>
            <w:vAlign w:val="center"/>
            <w:hideMark/>
          </w:tcPr>
          <w:p w14:paraId="3B97A1A8" w14:textId="77777777" w:rsidR="00177FCA" w:rsidRPr="00AA1FF8" w:rsidRDefault="00177FCA">
            <w:r w:rsidRPr="00AA1FF8">
              <w:t> </w:t>
            </w:r>
          </w:p>
        </w:tc>
      </w:tr>
    </w:tbl>
    <w:p w14:paraId="7645E545" w14:textId="77777777" w:rsidR="00177FCA" w:rsidRDefault="00177FCA" w:rsidP="00177FCA"/>
    <w:p w14:paraId="3197254B" w14:textId="77777777" w:rsidR="00D938D0" w:rsidRPr="00E86155" w:rsidRDefault="00D938D0" w:rsidP="00F023B1">
      <w:pPr>
        <w:tabs>
          <w:tab w:val="left" w:pos="5840"/>
        </w:tabs>
      </w:pPr>
    </w:p>
    <w:sectPr w:rsidR="00D938D0" w:rsidRPr="00E86155" w:rsidSect="00AA1FF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A5A3" w14:textId="77777777" w:rsidR="00F13374" w:rsidRDefault="00F13374" w:rsidP="00DA0DFA">
      <w:pPr>
        <w:spacing w:after="0" w:line="240" w:lineRule="auto"/>
      </w:pPr>
      <w:r>
        <w:separator/>
      </w:r>
    </w:p>
  </w:endnote>
  <w:endnote w:type="continuationSeparator" w:id="0">
    <w:p w14:paraId="75E81C7D" w14:textId="77777777" w:rsidR="00F13374" w:rsidRDefault="00F13374" w:rsidP="00DA0DFA">
      <w:pPr>
        <w:spacing w:after="0" w:line="240" w:lineRule="auto"/>
      </w:pPr>
      <w:r>
        <w:continuationSeparator/>
      </w:r>
    </w:p>
  </w:endnote>
  <w:endnote w:type="continuationNotice" w:id="1">
    <w:p w14:paraId="006297AF" w14:textId="77777777" w:rsidR="00F13374" w:rsidRDefault="00F13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202713"/>
      <w:docPartObj>
        <w:docPartGallery w:val="Page Numbers (Bottom of Page)"/>
        <w:docPartUnique/>
      </w:docPartObj>
    </w:sdtPr>
    <w:sdtContent>
      <w:p w14:paraId="17ED7252" w14:textId="77777777" w:rsidR="00687B5A" w:rsidRDefault="00687B5A" w:rsidP="00254C81">
        <w:pPr>
          <w:pStyle w:val="Footer"/>
          <w:pBdr>
            <w:top w:val="single" w:sz="4" w:space="1" w:color="auto"/>
          </w:pBdr>
          <w:jc w:val="right"/>
        </w:pPr>
        <w:r w:rsidRPr="00254C81">
          <w:rPr>
            <w:sz w:val="20"/>
            <w:szCs w:val="20"/>
          </w:rPr>
          <w:t xml:space="preserve">Page | </w:t>
        </w:r>
        <w:r w:rsidRPr="00254C81">
          <w:rPr>
            <w:sz w:val="20"/>
            <w:szCs w:val="20"/>
          </w:rPr>
          <w:fldChar w:fldCharType="begin"/>
        </w:r>
        <w:r w:rsidRPr="00254C81">
          <w:rPr>
            <w:sz w:val="20"/>
            <w:szCs w:val="20"/>
          </w:rPr>
          <w:instrText xml:space="preserve"> PAGE   \* MERGEFORMAT </w:instrText>
        </w:r>
        <w:r w:rsidRPr="00254C81">
          <w:rPr>
            <w:sz w:val="20"/>
            <w:szCs w:val="20"/>
          </w:rPr>
          <w:fldChar w:fldCharType="separate"/>
        </w:r>
        <w:r w:rsidRPr="00254C81">
          <w:rPr>
            <w:noProof/>
            <w:sz w:val="20"/>
            <w:szCs w:val="20"/>
          </w:rPr>
          <w:t>2</w:t>
        </w:r>
        <w:r w:rsidRPr="00254C81">
          <w:rPr>
            <w:noProof/>
            <w:sz w:val="20"/>
            <w:szCs w:val="20"/>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336820"/>
      <w:docPartObj>
        <w:docPartGallery w:val="Page Numbers (Bottom of Page)"/>
        <w:docPartUnique/>
      </w:docPartObj>
    </w:sdtPr>
    <w:sdtContent>
      <w:p w14:paraId="7D66F7D2" w14:textId="04784A57" w:rsidR="00421C79" w:rsidRDefault="00254C81" w:rsidP="00254C81">
        <w:pPr>
          <w:pStyle w:val="Footer"/>
          <w:pBdr>
            <w:top w:val="single" w:sz="4" w:space="1" w:color="auto"/>
          </w:pBdr>
          <w:jc w:val="right"/>
        </w:pPr>
        <w:r w:rsidRPr="00254C81">
          <w:rPr>
            <w:sz w:val="20"/>
            <w:szCs w:val="20"/>
          </w:rPr>
          <w:t xml:space="preserve">Page | </w:t>
        </w:r>
        <w:r w:rsidRPr="00254C81">
          <w:rPr>
            <w:sz w:val="20"/>
            <w:szCs w:val="20"/>
          </w:rPr>
          <w:fldChar w:fldCharType="begin"/>
        </w:r>
        <w:r w:rsidRPr="00254C81">
          <w:rPr>
            <w:sz w:val="20"/>
            <w:szCs w:val="20"/>
          </w:rPr>
          <w:instrText xml:space="preserve"> PAGE   \* MERGEFORMAT </w:instrText>
        </w:r>
        <w:r w:rsidRPr="00254C81">
          <w:rPr>
            <w:sz w:val="20"/>
            <w:szCs w:val="20"/>
          </w:rPr>
          <w:fldChar w:fldCharType="separate"/>
        </w:r>
        <w:r w:rsidRPr="00254C81">
          <w:rPr>
            <w:noProof/>
            <w:sz w:val="20"/>
            <w:szCs w:val="20"/>
          </w:rPr>
          <w:t>2</w:t>
        </w:r>
        <w:r w:rsidRPr="00254C81">
          <w:rPr>
            <w:noProof/>
            <w:sz w:val="20"/>
            <w:szCs w:val="20"/>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50132" w14:textId="77777777" w:rsidR="00F13374" w:rsidRDefault="00F13374" w:rsidP="00DA0DFA">
      <w:pPr>
        <w:spacing w:after="0" w:line="240" w:lineRule="auto"/>
      </w:pPr>
      <w:r>
        <w:separator/>
      </w:r>
    </w:p>
  </w:footnote>
  <w:footnote w:type="continuationSeparator" w:id="0">
    <w:p w14:paraId="3DEBEEF3" w14:textId="77777777" w:rsidR="00F13374" w:rsidRDefault="00F13374" w:rsidP="00DA0DFA">
      <w:pPr>
        <w:spacing w:after="0" w:line="240" w:lineRule="auto"/>
      </w:pPr>
      <w:r>
        <w:continuationSeparator/>
      </w:r>
    </w:p>
  </w:footnote>
  <w:footnote w:type="continuationNotice" w:id="1">
    <w:p w14:paraId="28C3FC70" w14:textId="77777777" w:rsidR="00F13374" w:rsidRDefault="00F13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8E7A" w14:textId="77777777" w:rsidR="00687B5A" w:rsidRPr="00254C81" w:rsidRDefault="00687B5A" w:rsidP="00A46295">
    <w:pPr>
      <w:pStyle w:val="Heading1"/>
      <w:pBdr>
        <w:bottom w:val="single" w:sz="4" w:space="1" w:color="auto"/>
      </w:pBdr>
      <w:rPr>
        <w:sz w:val="36"/>
        <w:szCs w:val="36"/>
      </w:rPr>
    </w:pPr>
    <w:r w:rsidRPr="00254C81">
      <w:rPr>
        <w:sz w:val="36"/>
        <w:szCs w:val="36"/>
      </w:rPr>
      <w:t>RDC Communication</w:t>
    </w:r>
    <w:r>
      <w:rPr>
        <w:sz w:val="36"/>
        <w:szCs w:val="36"/>
      </w:rPr>
      <w:t xml:space="preserve"> and Stakeholder Engagement</w:t>
    </w:r>
    <w:r w:rsidRPr="00254C81">
      <w:rPr>
        <w:sz w:val="36"/>
        <w:szCs w:val="36"/>
      </w:rPr>
      <w:t xml:space="preserve"> Strategy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C8E4" w14:textId="1E5E74F2" w:rsidR="00421C79" w:rsidRPr="00254C81" w:rsidRDefault="00A46295" w:rsidP="00A46295">
    <w:pPr>
      <w:pStyle w:val="Heading1"/>
      <w:pBdr>
        <w:bottom w:val="single" w:sz="4" w:space="1" w:color="auto"/>
      </w:pBdr>
      <w:rPr>
        <w:sz w:val="36"/>
        <w:szCs w:val="36"/>
      </w:rPr>
    </w:pPr>
    <w:r w:rsidRPr="00254C81">
      <w:rPr>
        <w:sz w:val="36"/>
        <w:szCs w:val="36"/>
      </w:rPr>
      <w:t>RDC Communication</w:t>
    </w:r>
    <w:r w:rsidR="00E4668C">
      <w:rPr>
        <w:sz w:val="36"/>
        <w:szCs w:val="36"/>
      </w:rPr>
      <w:t xml:space="preserve"> and Stakeholder Engagement</w:t>
    </w:r>
    <w:r w:rsidRPr="00254C81">
      <w:rPr>
        <w:sz w:val="36"/>
        <w:szCs w:val="36"/>
      </w:rPr>
      <w:t xml:space="preserve"> Strategy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0C3"/>
    <w:multiLevelType w:val="hybridMultilevel"/>
    <w:tmpl w:val="CAAC9E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04B7F"/>
    <w:multiLevelType w:val="hybridMultilevel"/>
    <w:tmpl w:val="F6B0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A172C"/>
    <w:multiLevelType w:val="hybridMultilevel"/>
    <w:tmpl w:val="3F12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F5EDD"/>
    <w:multiLevelType w:val="hybridMultilevel"/>
    <w:tmpl w:val="21984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595F90"/>
    <w:multiLevelType w:val="hybridMultilevel"/>
    <w:tmpl w:val="3F9A5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534A32"/>
    <w:multiLevelType w:val="hybridMultilevel"/>
    <w:tmpl w:val="21984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CA5D7B"/>
    <w:multiLevelType w:val="hybridMultilevel"/>
    <w:tmpl w:val="8252E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F2D90"/>
    <w:multiLevelType w:val="hybridMultilevel"/>
    <w:tmpl w:val="63EE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24D4A"/>
    <w:multiLevelType w:val="hybridMultilevel"/>
    <w:tmpl w:val="8E281704"/>
    <w:lvl w:ilvl="0" w:tplc="4432C1E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411FC"/>
    <w:multiLevelType w:val="hybridMultilevel"/>
    <w:tmpl w:val="3F9A5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723A43"/>
    <w:multiLevelType w:val="hybridMultilevel"/>
    <w:tmpl w:val="21984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8C2DD4"/>
    <w:multiLevelType w:val="hybridMultilevel"/>
    <w:tmpl w:val="CC32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B47A2"/>
    <w:multiLevelType w:val="hybridMultilevel"/>
    <w:tmpl w:val="CB9CD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3955EB"/>
    <w:multiLevelType w:val="hybridMultilevel"/>
    <w:tmpl w:val="9C6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83707"/>
    <w:multiLevelType w:val="hybridMultilevel"/>
    <w:tmpl w:val="DF6E33B2"/>
    <w:lvl w:ilvl="0" w:tplc="0C09000F">
      <w:start w:val="1"/>
      <w:numFmt w:val="decimal"/>
      <w:lvlText w:val="%1."/>
      <w:lvlJc w:val="left"/>
      <w:pPr>
        <w:ind w:left="720" w:hanging="360"/>
      </w:pPr>
    </w:lvl>
    <w:lvl w:ilvl="1" w:tplc="0C090005">
      <w:start w:val="1"/>
      <w:numFmt w:val="bullet"/>
      <w:lvlText w:val=""/>
      <w:lvlJc w:val="left"/>
      <w:pPr>
        <w:ind w:left="720" w:hanging="360"/>
      </w:pPr>
      <w:rPr>
        <w:rFonts w:ascii="Wingdings" w:hAnsi="Wingding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B22941"/>
    <w:multiLevelType w:val="hybridMultilevel"/>
    <w:tmpl w:val="89FAB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74E59"/>
    <w:multiLevelType w:val="hybridMultilevel"/>
    <w:tmpl w:val="DF6E33B2"/>
    <w:lvl w:ilvl="0" w:tplc="FFFFFFFF">
      <w:start w:val="1"/>
      <w:numFmt w:val="decimal"/>
      <w:lvlText w:val="%1."/>
      <w:lvlJc w:val="left"/>
      <w:pPr>
        <w:ind w:left="720" w:hanging="360"/>
      </w:pPr>
    </w:lvl>
    <w:lvl w:ilvl="1" w:tplc="FFFFFFFF">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2A1FCD"/>
    <w:multiLevelType w:val="hybridMultilevel"/>
    <w:tmpl w:val="C3366F48"/>
    <w:lvl w:ilvl="0" w:tplc="7B4EEA4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20656"/>
    <w:multiLevelType w:val="hybridMultilevel"/>
    <w:tmpl w:val="975418D8"/>
    <w:lvl w:ilvl="0" w:tplc="4432C1E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52E9A"/>
    <w:multiLevelType w:val="hybridMultilevel"/>
    <w:tmpl w:val="F8323192"/>
    <w:lvl w:ilvl="0" w:tplc="4432C1E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D3B1A"/>
    <w:multiLevelType w:val="hybridMultilevel"/>
    <w:tmpl w:val="3F9A5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F91313"/>
    <w:multiLevelType w:val="multilevel"/>
    <w:tmpl w:val="08781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5900C0"/>
    <w:multiLevelType w:val="hybridMultilevel"/>
    <w:tmpl w:val="2198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717976"/>
    <w:multiLevelType w:val="hybridMultilevel"/>
    <w:tmpl w:val="1D2467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9D44B3"/>
    <w:multiLevelType w:val="hybridMultilevel"/>
    <w:tmpl w:val="1A404B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B84176"/>
    <w:multiLevelType w:val="hybridMultilevel"/>
    <w:tmpl w:val="00701492"/>
    <w:lvl w:ilvl="0" w:tplc="9C70E006">
      <w:start w:val="1"/>
      <w:numFmt w:val="decimal"/>
      <w:lvlText w:val="%1."/>
      <w:lvlJc w:val="left"/>
      <w:pPr>
        <w:ind w:left="2173" w:hanging="382"/>
      </w:pPr>
      <w:rPr>
        <w:rFonts w:ascii="Arial" w:eastAsia="Arial" w:hAnsi="Arial" w:cs="Arial" w:hint="default"/>
        <w:b w:val="0"/>
        <w:bCs w:val="0"/>
        <w:i w:val="0"/>
        <w:iCs w:val="0"/>
        <w:spacing w:val="-1"/>
        <w:w w:val="85"/>
        <w:sz w:val="19"/>
        <w:szCs w:val="19"/>
        <w:lang w:val="en-US" w:eastAsia="en-US" w:bidi="ar-SA"/>
      </w:rPr>
    </w:lvl>
    <w:lvl w:ilvl="1" w:tplc="E40AF23A">
      <w:start w:val="1"/>
      <w:numFmt w:val="decimal"/>
      <w:lvlText w:val="%2."/>
      <w:lvlJc w:val="left"/>
      <w:pPr>
        <w:ind w:left="2536" w:hanging="379"/>
      </w:pPr>
      <w:rPr>
        <w:rFonts w:hint="default"/>
        <w:spacing w:val="-1"/>
        <w:w w:val="90"/>
        <w:lang w:val="en-US" w:eastAsia="en-US" w:bidi="ar-SA"/>
      </w:rPr>
    </w:lvl>
    <w:lvl w:ilvl="2" w:tplc="3656E934">
      <w:numFmt w:val="bullet"/>
      <w:lvlText w:val=""/>
      <w:lvlJc w:val="left"/>
      <w:pPr>
        <w:ind w:left="2530" w:hanging="373"/>
      </w:pPr>
      <w:rPr>
        <w:rFonts w:ascii="Symbol" w:eastAsia="Symbol" w:hAnsi="Symbol" w:cs="Symbol" w:hint="default"/>
        <w:spacing w:val="0"/>
        <w:w w:val="99"/>
        <w:lang w:val="en-US" w:eastAsia="en-US" w:bidi="ar-SA"/>
      </w:rPr>
    </w:lvl>
    <w:lvl w:ilvl="3" w:tplc="1F0EE598">
      <w:numFmt w:val="bullet"/>
      <w:lvlText w:val="o"/>
      <w:lvlJc w:val="left"/>
      <w:pPr>
        <w:ind w:left="3615" w:hanging="375"/>
      </w:pPr>
      <w:rPr>
        <w:rFonts w:ascii="Courier New" w:eastAsia="Courier New" w:hAnsi="Courier New" w:cs="Courier New" w:hint="default"/>
        <w:spacing w:val="0"/>
        <w:w w:val="99"/>
        <w:lang w:val="en-US" w:eastAsia="en-US" w:bidi="ar-SA"/>
      </w:rPr>
    </w:lvl>
    <w:lvl w:ilvl="4" w:tplc="BB5EBEBA">
      <w:numFmt w:val="bullet"/>
      <w:lvlText w:val="•"/>
      <w:lvlJc w:val="left"/>
      <w:pPr>
        <w:ind w:left="4802" w:hanging="375"/>
      </w:pPr>
      <w:rPr>
        <w:rFonts w:hint="default"/>
        <w:lang w:val="en-US" w:eastAsia="en-US" w:bidi="ar-SA"/>
      </w:rPr>
    </w:lvl>
    <w:lvl w:ilvl="5" w:tplc="74C2D2E2">
      <w:numFmt w:val="bullet"/>
      <w:lvlText w:val="•"/>
      <w:lvlJc w:val="left"/>
      <w:pPr>
        <w:ind w:left="5985" w:hanging="375"/>
      </w:pPr>
      <w:rPr>
        <w:rFonts w:hint="default"/>
        <w:lang w:val="en-US" w:eastAsia="en-US" w:bidi="ar-SA"/>
      </w:rPr>
    </w:lvl>
    <w:lvl w:ilvl="6" w:tplc="A426E5D2">
      <w:numFmt w:val="bullet"/>
      <w:lvlText w:val="•"/>
      <w:lvlJc w:val="left"/>
      <w:pPr>
        <w:ind w:left="7168" w:hanging="375"/>
      </w:pPr>
      <w:rPr>
        <w:rFonts w:hint="default"/>
        <w:lang w:val="en-US" w:eastAsia="en-US" w:bidi="ar-SA"/>
      </w:rPr>
    </w:lvl>
    <w:lvl w:ilvl="7" w:tplc="40C0908E">
      <w:numFmt w:val="bullet"/>
      <w:lvlText w:val="•"/>
      <w:lvlJc w:val="left"/>
      <w:pPr>
        <w:ind w:left="8350" w:hanging="375"/>
      </w:pPr>
      <w:rPr>
        <w:rFonts w:hint="default"/>
        <w:lang w:val="en-US" w:eastAsia="en-US" w:bidi="ar-SA"/>
      </w:rPr>
    </w:lvl>
    <w:lvl w:ilvl="8" w:tplc="18D27450">
      <w:numFmt w:val="bullet"/>
      <w:lvlText w:val="•"/>
      <w:lvlJc w:val="left"/>
      <w:pPr>
        <w:ind w:left="9533" w:hanging="375"/>
      </w:pPr>
      <w:rPr>
        <w:rFonts w:hint="default"/>
        <w:lang w:val="en-US" w:eastAsia="en-US" w:bidi="ar-SA"/>
      </w:rPr>
    </w:lvl>
  </w:abstractNum>
  <w:abstractNum w:abstractNumId="26" w15:restartNumberingAfterBreak="0">
    <w:nsid w:val="75E46CBE"/>
    <w:multiLevelType w:val="hybridMultilevel"/>
    <w:tmpl w:val="B5E00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3477B6"/>
    <w:multiLevelType w:val="hybridMultilevel"/>
    <w:tmpl w:val="EC2AB498"/>
    <w:lvl w:ilvl="0" w:tplc="4432C1E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C540E"/>
    <w:multiLevelType w:val="hybridMultilevel"/>
    <w:tmpl w:val="3F9A5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6A6016"/>
    <w:multiLevelType w:val="hybridMultilevel"/>
    <w:tmpl w:val="06BA4DD6"/>
    <w:lvl w:ilvl="0" w:tplc="2C10AC7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8982949">
    <w:abstractNumId w:val="9"/>
  </w:num>
  <w:num w:numId="2" w16cid:durableId="1082069549">
    <w:abstractNumId w:val="0"/>
  </w:num>
  <w:num w:numId="3" w16cid:durableId="66342994">
    <w:abstractNumId w:val="25"/>
  </w:num>
  <w:num w:numId="4" w16cid:durableId="1549222261">
    <w:abstractNumId w:val="24"/>
  </w:num>
  <w:num w:numId="5" w16cid:durableId="592396425">
    <w:abstractNumId w:val="2"/>
  </w:num>
  <w:num w:numId="6" w16cid:durableId="272059051">
    <w:abstractNumId w:val="17"/>
  </w:num>
  <w:num w:numId="7" w16cid:durableId="270210926">
    <w:abstractNumId w:val="29"/>
  </w:num>
  <w:num w:numId="8" w16cid:durableId="1919631445">
    <w:abstractNumId w:val="14"/>
  </w:num>
  <w:num w:numId="9" w16cid:durableId="317804757">
    <w:abstractNumId w:val="23"/>
  </w:num>
  <w:num w:numId="10" w16cid:durableId="2012366626">
    <w:abstractNumId w:val="11"/>
  </w:num>
  <w:num w:numId="11" w16cid:durableId="1014527694">
    <w:abstractNumId w:val="1"/>
  </w:num>
  <w:num w:numId="12" w16cid:durableId="337853268">
    <w:abstractNumId w:val="13"/>
  </w:num>
  <w:num w:numId="13" w16cid:durableId="1794592356">
    <w:abstractNumId w:val="7"/>
  </w:num>
  <w:num w:numId="14" w16cid:durableId="780144140">
    <w:abstractNumId w:val="8"/>
  </w:num>
  <w:num w:numId="15" w16cid:durableId="1427731081">
    <w:abstractNumId w:val="18"/>
  </w:num>
  <w:num w:numId="16" w16cid:durableId="1308629018">
    <w:abstractNumId w:val="19"/>
  </w:num>
  <w:num w:numId="17" w16cid:durableId="67847320">
    <w:abstractNumId w:val="16"/>
  </w:num>
  <w:num w:numId="18" w16cid:durableId="1342128875">
    <w:abstractNumId w:val="4"/>
  </w:num>
  <w:num w:numId="19" w16cid:durableId="707220427">
    <w:abstractNumId w:val="26"/>
  </w:num>
  <w:num w:numId="20" w16cid:durableId="1674720441">
    <w:abstractNumId w:val="28"/>
  </w:num>
  <w:num w:numId="21" w16cid:durableId="997339686">
    <w:abstractNumId w:val="22"/>
  </w:num>
  <w:num w:numId="22" w16cid:durableId="1731271422">
    <w:abstractNumId w:val="10"/>
  </w:num>
  <w:num w:numId="23" w16cid:durableId="467090213">
    <w:abstractNumId w:val="3"/>
  </w:num>
  <w:num w:numId="24" w16cid:durableId="415596022">
    <w:abstractNumId w:val="5"/>
  </w:num>
  <w:num w:numId="25" w16cid:durableId="189950689">
    <w:abstractNumId w:val="20"/>
  </w:num>
  <w:num w:numId="26" w16cid:durableId="1729106766">
    <w:abstractNumId w:val="6"/>
  </w:num>
  <w:num w:numId="27" w16cid:durableId="1826123018">
    <w:abstractNumId w:val="27"/>
  </w:num>
  <w:num w:numId="28" w16cid:durableId="142280365">
    <w:abstractNumId w:val="15"/>
  </w:num>
  <w:num w:numId="29" w16cid:durableId="658464505">
    <w:abstractNumId w:val="12"/>
  </w:num>
  <w:num w:numId="30" w16cid:durableId="1859729762">
    <w:abstractNumId w:val="21"/>
  </w:num>
  <w:num w:numId="31" w16cid:durableId="1462260003">
    <w:abstractNumId w:val="21"/>
    <w:lvlOverride w:ilvl="1">
      <w:lvl w:ilvl="1">
        <w:numFmt w:val="bullet"/>
        <w:lvlText w:val=""/>
        <w:lvlJc w:val="left"/>
        <w:pPr>
          <w:tabs>
            <w:tab w:val="num" w:pos="1440"/>
          </w:tabs>
          <w:ind w:left="1440" w:hanging="360"/>
        </w:pPr>
        <w:rPr>
          <w:rFonts w:ascii="Symbol" w:hAnsi="Symbol" w:hint="default"/>
          <w:sz w:val="20"/>
        </w:rPr>
      </w:lvl>
    </w:lvlOverride>
  </w:num>
  <w:num w:numId="32" w16cid:durableId="872575829">
    <w:abstractNumId w:val="21"/>
    <w:lvlOverride w:ilvl="1">
      <w:lvl w:ilvl="1">
        <w:numFmt w:val="bullet"/>
        <w:lvlText w:val=""/>
        <w:lvlJc w:val="left"/>
        <w:pPr>
          <w:tabs>
            <w:tab w:val="num" w:pos="1440"/>
          </w:tabs>
          <w:ind w:left="1440" w:hanging="360"/>
        </w:pPr>
        <w:rPr>
          <w:rFonts w:ascii="Symbol" w:hAnsi="Symbol" w:hint="default"/>
          <w:sz w:val="20"/>
        </w:rPr>
      </w:lvl>
    </w:lvlOverride>
  </w:num>
  <w:num w:numId="33" w16cid:durableId="1802992500">
    <w:abstractNumId w:val="21"/>
    <w:lvlOverride w:ilvl="1">
      <w:lvl w:ilvl="1">
        <w:numFmt w:val="bullet"/>
        <w:lvlText w:val=""/>
        <w:lvlJc w:val="left"/>
        <w:pPr>
          <w:tabs>
            <w:tab w:val="num" w:pos="1440"/>
          </w:tabs>
          <w:ind w:left="1440" w:hanging="360"/>
        </w:pPr>
        <w:rPr>
          <w:rFonts w:ascii="Symbol" w:hAnsi="Symbol" w:hint="default"/>
          <w:sz w:val="20"/>
        </w:rPr>
      </w:lvl>
    </w:lvlOverride>
  </w:num>
  <w:num w:numId="34" w16cid:durableId="1725830788">
    <w:abstractNumId w:val="2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2D"/>
    <w:rsid w:val="0000227C"/>
    <w:rsid w:val="000034A3"/>
    <w:rsid w:val="00015F36"/>
    <w:rsid w:val="000179EB"/>
    <w:rsid w:val="000212C7"/>
    <w:rsid w:val="00022B8B"/>
    <w:rsid w:val="00033387"/>
    <w:rsid w:val="00034FE7"/>
    <w:rsid w:val="00035EBA"/>
    <w:rsid w:val="000371CC"/>
    <w:rsid w:val="000412C0"/>
    <w:rsid w:val="00044C50"/>
    <w:rsid w:val="00050C8D"/>
    <w:rsid w:val="0005407E"/>
    <w:rsid w:val="00054562"/>
    <w:rsid w:val="0005477E"/>
    <w:rsid w:val="0005527E"/>
    <w:rsid w:val="00055285"/>
    <w:rsid w:val="00061144"/>
    <w:rsid w:val="00062B7B"/>
    <w:rsid w:val="00064FDD"/>
    <w:rsid w:val="000672AB"/>
    <w:rsid w:val="0007214C"/>
    <w:rsid w:val="00076F9B"/>
    <w:rsid w:val="000816AB"/>
    <w:rsid w:val="000835E2"/>
    <w:rsid w:val="00087F08"/>
    <w:rsid w:val="000905E1"/>
    <w:rsid w:val="000929E7"/>
    <w:rsid w:val="000935CD"/>
    <w:rsid w:val="00094632"/>
    <w:rsid w:val="00096191"/>
    <w:rsid w:val="000A6065"/>
    <w:rsid w:val="000B41DC"/>
    <w:rsid w:val="000B47E8"/>
    <w:rsid w:val="000B4F0F"/>
    <w:rsid w:val="000B51E2"/>
    <w:rsid w:val="000B57DE"/>
    <w:rsid w:val="000B5C08"/>
    <w:rsid w:val="000B6317"/>
    <w:rsid w:val="000B782A"/>
    <w:rsid w:val="000C25D2"/>
    <w:rsid w:val="000C5DD2"/>
    <w:rsid w:val="000C699B"/>
    <w:rsid w:val="000C7F60"/>
    <w:rsid w:val="000D7D73"/>
    <w:rsid w:val="000E58F9"/>
    <w:rsid w:val="000E68DB"/>
    <w:rsid w:val="000F3B7B"/>
    <w:rsid w:val="001025CD"/>
    <w:rsid w:val="001035E5"/>
    <w:rsid w:val="00104F56"/>
    <w:rsid w:val="001219A5"/>
    <w:rsid w:val="00122F5A"/>
    <w:rsid w:val="001243C8"/>
    <w:rsid w:val="001264EC"/>
    <w:rsid w:val="00133447"/>
    <w:rsid w:val="00133E01"/>
    <w:rsid w:val="0014443C"/>
    <w:rsid w:val="00155FCA"/>
    <w:rsid w:val="00163B3B"/>
    <w:rsid w:val="001655D5"/>
    <w:rsid w:val="00165C44"/>
    <w:rsid w:val="00170D55"/>
    <w:rsid w:val="0017124A"/>
    <w:rsid w:val="001719F9"/>
    <w:rsid w:val="00176C2F"/>
    <w:rsid w:val="00177FCA"/>
    <w:rsid w:val="0018232D"/>
    <w:rsid w:val="00183489"/>
    <w:rsid w:val="00183828"/>
    <w:rsid w:val="001858C2"/>
    <w:rsid w:val="00185A3D"/>
    <w:rsid w:val="0018612C"/>
    <w:rsid w:val="00186490"/>
    <w:rsid w:val="0019145F"/>
    <w:rsid w:val="00191EE4"/>
    <w:rsid w:val="00192456"/>
    <w:rsid w:val="00192604"/>
    <w:rsid w:val="00195D24"/>
    <w:rsid w:val="001A0F09"/>
    <w:rsid w:val="001A23F3"/>
    <w:rsid w:val="001A2483"/>
    <w:rsid w:val="001A44B9"/>
    <w:rsid w:val="001A7DC1"/>
    <w:rsid w:val="001B1FCB"/>
    <w:rsid w:val="001B22A8"/>
    <w:rsid w:val="001B28BB"/>
    <w:rsid w:val="001B29E7"/>
    <w:rsid w:val="001B458C"/>
    <w:rsid w:val="001B4C69"/>
    <w:rsid w:val="001B5589"/>
    <w:rsid w:val="001C1365"/>
    <w:rsid w:val="001C2CCF"/>
    <w:rsid w:val="001C35BC"/>
    <w:rsid w:val="001C44B6"/>
    <w:rsid w:val="001C6D6D"/>
    <w:rsid w:val="001D03E9"/>
    <w:rsid w:val="001D1B60"/>
    <w:rsid w:val="001D2DB2"/>
    <w:rsid w:val="001D2E0B"/>
    <w:rsid w:val="001D53B8"/>
    <w:rsid w:val="001D5DAA"/>
    <w:rsid w:val="001E19F0"/>
    <w:rsid w:val="001E6500"/>
    <w:rsid w:val="001E7D0E"/>
    <w:rsid w:val="001F139B"/>
    <w:rsid w:val="001F1EC2"/>
    <w:rsid w:val="001F2B62"/>
    <w:rsid w:val="001F4BE8"/>
    <w:rsid w:val="001F4FFD"/>
    <w:rsid w:val="001F5744"/>
    <w:rsid w:val="001F767E"/>
    <w:rsid w:val="00211473"/>
    <w:rsid w:val="00211917"/>
    <w:rsid w:val="00213FD6"/>
    <w:rsid w:val="0021470D"/>
    <w:rsid w:val="0021475E"/>
    <w:rsid w:val="002178D4"/>
    <w:rsid w:val="002201B8"/>
    <w:rsid w:val="002201DC"/>
    <w:rsid w:val="002230E0"/>
    <w:rsid w:val="002238F2"/>
    <w:rsid w:val="00224424"/>
    <w:rsid w:val="00225411"/>
    <w:rsid w:val="00227504"/>
    <w:rsid w:val="002371E0"/>
    <w:rsid w:val="002407D4"/>
    <w:rsid w:val="0024304C"/>
    <w:rsid w:val="00254C81"/>
    <w:rsid w:val="0025626F"/>
    <w:rsid w:val="00256700"/>
    <w:rsid w:val="002571DC"/>
    <w:rsid w:val="00260763"/>
    <w:rsid w:val="0026195C"/>
    <w:rsid w:val="00262ED2"/>
    <w:rsid w:val="00275ACA"/>
    <w:rsid w:val="00284652"/>
    <w:rsid w:val="00285E80"/>
    <w:rsid w:val="00286F65"/>
    <w:rsid w:val="00287590"/>
    <w:rsid w:val="002908D7"/>
    <w:rsid w:val="002910BE"/>
    <w:rsid w:val="0029127B"/>
    <w:rsid w:val="0029130E"/>
    <w:rsid w:val="002A073B"/>
    <w:rsid w:val="002A4092"/>
    <w:rsid w:val="002B0475"/>
    <w:rsid w:val="002B0F34"/>
    <w:rsid w:val="002B4DEF"/>
    <w:rsid w:val="002B7552"/>
    <w:rsid w:val="002C1B8D"/>
    <w:rsid w:val="002C2223"/>
    <w:rsid w:val="002D1789"/>
    <w:rsid w:val="002D21CB"/>
    <w:rsid w:val="002D242A"/>
    <w:rsid w:val="002D2435"/>
    <w:rsid w:val="002D6226"/>
    <w:rsid w:val="002E0571"/>
    <w:rsid w:val="002E3CD7"/>
    <w:rsid w:val="002E483E"/>
    <w:rsid w:val="002E7FAD"/>
    <w:rsid w:val="002F318F"/>
    <w:rsid w:val="002F6A64"/>
    <w:rsid w:val="002F7E5E"/>
    <w:rsid w:val="00300C1F"/>
    <w:rsid w:val="00303565"/>
    <w:rsid w:val="0030478B"/>
    <w:rsid w:val="003062B3"/>
    <w:rsid w:val="00307C22"/>
    <w:rsid w:val="00310387"/>
    <w:rsid w:val="00311B4B"/>
    <w:rsid w:val="0031203A"/>
    <w:rsid w:val="00312AD6"/>
    <w:rsid w:val="00315878"/>
    <w:rsid w:val="003158C5"/>
    <w:rsid w:val="00316E90"/>
    <w:rsid w:val="00324D2D"/>
    <w:rsid w:val="0032614E"/>
    <w:rsid w:val="00326645"/>
    <w:rsid w:val="00326A64"/>
    <w:rsid w:val="003270E8"/>
    <w:rsid w:val="003374CC"/>
    <w:rsid w:val="00337A4C"/>
    <w:rsid w:val="003411B4"/>
    <w:rsid w:val="00344CFD"/>
    <w:rsid w:val="00347C99"/>
    <w:rsid w:val="00347D54"/>
    <w:rsid w:val="00352793"/>
    <w:rsid w:val="00352885"/>
    <w:rsid w:val="00353959"/>
    <w:rsid w:val="00354CDB"/>
    <w:rsid w:val="00356E90"/>
    <w:rsid w:val="00360255"/>
    <w:rsid w:val="003615B1"/>
    <w:rsid w:val="00362D6E"/>
    <w:rsid w:val="003643E4"/>
    <w:rsid w:val="00365494"/>
    <w:rsid w:val="0037162C"/>
    <w:rsid w:val="00374F4B"/>
    <w:rsid w:val="003777FE"/>
    <w:rsid w:val="00380052"/>
    <w:rsid w:val="003819DD"/>
    <w:rsid w:val="00384066"/>
    <w:rsid w:val="0038632F"/>
    <w:rsid w:val="0039132F"/>
    <w:rsid w:val="00393111"/>
    <w:rsid w:val="00396307"/>
    <w:rsid w:val="003963E5"/>
    <w:rsid w:val="003968D7"/>
    <w:rsid w:val="003A0FA9"/>
    <w:rsid w:val="003A47C7"/>
    <w:rsid w:val="003B2113"/>
    <w:rsid w:val="003B5B72"/>
    <w:rsid w:val="003C18AA"/>
    <w:rsid w:val="003C3EE0"/>
    <w:rsid w:val="003C6670"/>
    <w:rsid w:val="003C7564"/>
    <w:rsid w:val="003D3560"/>
    <w:rsid w:val="003D74AF"/>
    <w:rsid w:val="003E13BE"/>
    <w:rsid w:val="003E33CB"/>
    <w:rsid w:val="003E5792"/>
    <w:rsid w:val="003E7071"/>
    <w:rsid w:val="003F0951"/>
    <w:rsid w:val="003F52DE"/>
    <w:rsid w:val="0040380F"/>
    <w:rsid w:val="00417DA7"/>
    <w:rsid w:val="00421C79"/>
    <w:rsid w:val="00423445"/>
    <w:rsid w:val="00424B22"/>
    <w:rsid w:val="00427F22"/>
    <w:rsid w:val="00433AC8"/>
    <w:rsid w:val="00443182"/>
    <w:rsid w:val="00445CAD"/>
    <w:rsid w:val="00445D11"/>
    <w:rsid w:val="004463DF"/>
    <w:rsid w:val="00447618"/>
    <w:rsid w:val="00450311"/>
    <w:rsid w:val="0045116F"/>
    <w:rsid w:val="00455C6A"/>
    <w:rsid w:val="0045629C"/>
    <w:rsid w:val="0046043A"/>
    <w:rsid w:val="004625F1"/>
    <w:rsid w:val="00464A91"/>
    <w:rsid w:val="00464B33"/>
    <w:rsid w:val="0047091A"/>
    <w:rsid w:val="00474105"/>
    <w:rsid w:val="00474928"/>
    <w:rsid w:val="004753C0"/>
    <w:rsid w:val="00476E8F"/>
    <w:rsid w:val="0048031E"/>
    <w:rsid w:val="0048266F"/>
    <w:rsid w:val="004856CC"/>
    <w:rsid w:val="004870DB"/>
    <w:rsid w:val="0048773B"/>
    <w:rsid w:val="00493348"/>
    <w:rsid w:val="004933D9"/>
    <w:rsid w:val="004949DB"/>
    <w:rsid w:val="004A43A8"/>
    <w:rsid w:val="004B2FAC"/>
    <w:rsid w:val="004B5758"/>
    <w:rsid w:val="004B5FCC"/>
    <w:rsid w:val="004B7C88"/>
    <w:rsid w:val="004C30BF"/>
    <w:rsid w:val="004C4B2B"/>
    <w:rsid w:val="004C5FFD"/>
    <w:rsid w:val="004C679D"/>
    <w:rsid w:val="004D0560"/>
    <w:rsid w:val="004D3221"/>
    <w:rsid w:val="004D7CA2"/>
    <w:rsid w:val="004E254C"/>
    <w:rsid w:val="004E25CF"/>
    <w:rsid w:val="004E4735"/>
    <w:rsid w:val="004E7A64"/>
    <w:rsid w:val="004F209D"/>
    <w:rsid w:val="004F4776"/>
    <w:rsid w:val="004F497D"/>
    <w:rsid w:val="005032C7"/>
    <w:rsid w:val="00503E35"/>
    <w:rsid w:val="00511602"/>
    <w:rsid w:val="00513A08"/>
    <w:rsid w:val="00513FAF"/>
    <w:rsid w:val="00516210"/>
    <w:rsid w:val="0052517A"/>
    <w:rsid w:val="00525B89"/>
    <w:rsid w:val="00525E83"/>
    <w:rsid w:val="00526C5E"/>
    <w:rsid w:val="00530480"/>
    <w:rsid w:val="0053180B"/>
    <w:rsid w:val="00537992"/>
    <w:rsid w:val="00540A4C"/>
    <w:rsid w:val="005430D0"/>
    <w:rsid w:val="00543E4B"/>
    <w:rsid w:val="00545CAC"/>
    <w:rsid w:val="005509E3"/>
    <w:rsid w:val="00553EB2"/>
    <w:rsid w:val="00562E68"/>
    <w:rsid w:val="005655D8"/>
    <w:rsid w:val="00571A9D"/>
    <w:rsid w:val="00574935"/>
    <w:rsid w:val="0057553A"/>
    <w:rsid w:val="00577026"/>
    <w:rsid w:val="00580AEF"/>
    <w:rsid w:val="00581396"/>
    <w:rsid w:val="005840FF"/>
    <w:rsid w:val="005842B1"/>
    <w:rsid w:val="00587BED"/>
    <w:rsid w:val="0059142D"/>
    <w:rsid w:val="005931AA"/>
    <w:rsid w:val="00593629"/>
    <w:rsid w:val="00594744"/>
    <w:rsid w:val="005A1A04"/>
    <w:rsid w:val="005A25BF"/>
    <w:rsid w:val="005A2C87"/>
    <w:rsid w:val="005B249D"/>
    <w:rsid w:val="005B4262"/>
    <w:rsid w:val="005B6F14"/>
    <w:rsid w:val="005C1F22"/>
    <w:rsid w:val="005C61D1"/>
    <w:rsid w:val="005D518E"/>
    <w:rsid w:val="005D5594"/>
    <w:rsid w:val="005E07C4"/>
    <w:rsid w:val="005E0FBC"/>
    <w:rsid w:val="005E2463"/>
    <w:rsid w:val="005F01B9"/>
    <w:rsid w:val="005F4357"/>
    <w:rsid w:val="0060073E"/>
    <w:rsid w:val="0060265F"/>
    <w:rsid w:val="00604AE6"/>
    <w:rsid w:val="00606C98"/>
    <w:rsid w:val="0061003F"/>
    <w:rsid w:val="00612DD5"/>
    <w:rsid w:val="00613B0B"/>
    <w:rsid w:val="00616E45"/>
    <w:rsid w:val="00617E5E"/>
    <w:rsid w:val="0062435C"/>
    <w:rsid w:val="00630731"/>
    <w:rsid w:val="00630B04"/>
    <w:rsid w:val="00630F6E"/>
    <w:rsid w:val="0063497F"/>
    <w:rsid w:val="0063540D"/>
    <w:rsid w:val="00635AA5"/>
    <w:rsid w:val="0064020A"/>
    <w:rsid w:val="006430D8"/>
    <w:rsid w:val="00643524"/>
    <w:rsid w:val="00644937"/>
    <w:rsid w:val="006458F6"/>
    <w:rsid w:val="00646A9C"/>
    <w:rsid w:val="0065223E"/>
    <w:rsid w:val="006539D7"/>
    <w:rsid w:val="00654271"/>
    <w:rsid w:val="00656718"/>
    <w:rsid w:val="00656CD0"/>
    <w:rsid w:val="00657BD3"/>
    <w:rsid w:val="006612A7"/>
    <w:rsid w:val="00671BB5"/>
    <w:rsid w:val="006770A0"/>
    <w:rsid w:val="0067782A"/>
    <w:rsid w:val="00677F30"/>
    <w:rsid w:val="00680EA9"/>
    <w:rsid w:val="006810C2"/>
    <w:rsid w:val="00681ECF"/>
    <w:rsid w:val="0068212D"/>
    <w:rsid w:val="006826D4"/>
    <w:rsid w:val="00683D05"/>
    <w:rsid w:val="00687380"/>
    <w:rsid w:val="00687B51"/>
    <w:rsid w:val="00687B5A"/>
    <w:rsid w:val="00687EC1"/>
    <w:rsid w:val="006922D5"/>
    <w:rsid w:val="00692BA6"/>
    <w:rsid w:val="0069411B"/>
    <w:rsid w:val="00696BD7"/>
    <w:rsid w:val="00697797"/>
    <w:rsid w:val="006A34D4"/>
    <w:rsid w:val="006A555B"/>
    <w:rsid w:val="006A629C"/>
    <w:rsid w:val="006A7071"/>
    <w:rsid w:val="006B0F23"/>
    <w:rsid w:val="006B0FE1"/>
    <w:rsid w:val="006B2880"/>
    <w:rsid w:val="006B38F5"/>
    <w:rsid w:val="006B4B34"/>
    <w:rsid w:val="006B5121"/>
    <w:rsid w:val="006B51F8"/>
    <w:rsid w:val="006B5307"/>
    <w:rsid w:val="006B642E"/>
    <w:rsid w:val="006B7AFC"/>
    <w:rsid w:val="006B7D8E"/>
    <w:rsid w:val="006C2BD1"/>
    <w:rsid w:val="006C2CB2"/>
    <w:rsid w:val="006C6697"/>
    <w:rsid w:val="006D1609"/>
    <w:rsid w:val="006D350A"/>
    <w:rsid w:val="006D6549"/>
    <w:rsid w:val="006E09A5"/>
    <w:rsid w:val="006E27B9"/>
    <w:rsid w:val="006E28DC"/>
    <w:rsid w:val="006E4378"/>
    <w:rsid w:val="006E5E78"/>
    <w:rsid w:val="006E6AA0"/>
    <w:rsid w:val="006F13CC"/>
    <w:rsid w:val="006F177C"/>
    <w:rsid w:val="006F3ED9"/>
    <w:rsid w:val="006F527D"/>
    <w:rsid w:val="00700219"/>
    <w:rsid w:val="007059D4"/>
    <w:rsid w:val="00706C37"/>
    <w:rsid w:val="00706EA1"/>
    <w:rsid w:val="00710DB6"/>
    <w:rsid w:val="0071309F"/>
    <w:rsid w:val="007153D6"/>
    <w:rsid w:val="00716880"/>
    <w:rsid w:val="00716EDE"/>
    <w:rsid w:val="00720619"/>
    <w:rsid w:val="007213D5"/>
    <w:rsid w:val="00723C76"/>
    <w:rsid w:val="00732450"/>
    <w:rsid w:val="00733990"/>
    <w:rsid w:val="007404F3"/>
    <w:rsid w:val="00742888"/>
    <w:rsid w:val="007430D9"/>
    <w:rsid w:val="0075134B"/>
    <w:rsid w:val="0076267F"/>
    <w:rsid w:val="00763B45"/>
    <w:rsid w:val="0076626A"/>
    <w:rsid w:val="00767444"/>
    <w:rsid w:val="00772F7B"/>
    <w:rsid w:val="00783BE4"/>
    <w:rsid w:val="0079137F"/>
    <w:rsid w:val="007959C4"/>
    <w:rsid w:val="007A0F1B"/>
    <w:rsid w:val="007A6483"/>
    <w:rsid w:val="007A6517"/>
    <w:rsid w:val="007B115B"/>
    <w:rsid w:val="007B3B20"/>
    <w:rsid w:val="007B50D6"/>
    <w:rsid w:val="007C020F"/>
    <w:rsid w:val="007C158B"/>
    <w:rsid w:val="007C255E"/>
    <w:rsid w:val="007C3689"/>
    <w:rsid w:val="007C37FE"/>
    <w:rsid w:val="007C3BF3"/>
    <w:rsid w:val="007C6B96"/>
    <w:rsid w:val="007C78A4"/>
    <w:rsid w:val="007D0692"/>
    <w:rsid w:val="007D0D2F"/>
    <w:rsid w:val="007D1B73"/>
    <w:rsid w:val="007D26AC"/>
    <w:rsid w:val="007D7A0C"/>
    <w:rsid w:val="007E1BC8"/>
    <w:rsid w:val="007E3DE6"/>
    <w:rsid w:val="007E6DE1"/>
    <w:rsid w:val="007F19A3"/>
    <w:rsid w:val="00802DB9"/>
    <w:rsid w:val="00803110"/>
    <w:rsid w:val="00803AC3"/>
    <w:rsid w:val="008066B8"/>
    <w:rsid w:val="008068F8"/>
    <w:rsid w:val="00806937"/>
    <w:rsid w:val="00814CEB"/>
    <w:rsid w:val="008151CF"/>
    <w:rsid w:val="00817183"/>
    <w:rsid w:val="0082265B"/>
    <w:rsid w:val="008237F6"/>
    <w:rsid w:val="00831413"/>
    <w:rsid w:val="00831E3B"/>
    <w:rsid w:val="008321DA"/>
    <w:rsid w:val="00832795"/>
    <w:rsid w:val="00833BE4"/>
    <w:rsid w:val="008351F1"/>
    <w:rsid w:val="00844401"/>
    <w:rsid w:val="00850883"/>
    <w:rsid w:val="00850BDA"/>
    <w:rsid w:val="00852BB1"/>
    <w:rsid w:val="0085413C"/>
    <w:rsid w:val="0085431A"/>
    <w:rsid w:val="00861B1F"/>
    <w:rsid w:val="008702DF"/>
    <w:rsid w:val="00871B2C"/>
    <w:rsid w:val="00874F35"/>
    <w:rsid w:val="00876177"/>
    <w:rsid w:val="00880004"/>
    <w:rsid w:val="00880E3A"/>
    <w:rsid w:val="00883CC2"/>
    <w:rsid w:val="0088681C"/>
    <w:rsid w:val="0089278B"/>
    <w:rsid w:val="008A0CCB"/>
    <w:rsid w:val="008A1551"/>
    <w:rsid w:val="008A21D2"/>
    <w:rsid w:val="008A3384"/>
    <w:rsid w:val="008A3A3C"/>
    <w:rsid w:val="008A3C66"/>
    <w:rsid w:val="008A649C"/>
    <w:rsid w:val="008A67B9"/>
    <w:rsid w:val="008A6CDA"/>
    <w:rsid w:val="008A7C3A"/>
    <w:rsid w:val="008B4AC1"/>
    <w:rsid w:val="008B54E1"/>
    <w:rsid w:val="008C0934"/>
    <w:rsid w:val="008C237B"/>
    <w:rsid w:val="008C274C"/>
    <w:rsid w:val="008C4227"/>
    <w:rsid w:val="008C4742"/>
    <w:rsid w:val="008C628D"/>
    <w:rsid w:val="008C7C1F"/>
    <w:rsid w:val="008D5BA1"/>
    <w:rsid w:val="008D5D46"/>
    <w:rsid w:val="008D5E7C"/>
    <w:rsid w:val="008D64FA"/>
    <w:rsid w:val="008E3179"/>
    <w:rsid w:val="008F1D6E"/>
    <w:rsid w:val="008F3E31"/>
    <w:rsid w:val="008F7E8D"/>
    <w:rsid w:val="00901B86"/>
    <w:rsid w:val="00902097"/>
    <w:rsid w:val="009077B1"/>
    <w:rsid w:val="00911DF5"/>
    <w:rsid w:val="009137F2"/>
    <w:rsid w:val="00914821"/>
    <w:rsid w:val="00921E4B"/>
    <w:rsid w:val="009249C7"/>
    <w:rsid w:val="009269E4"/>
    <w:rsid w:val="0092775F"/>
    <w:rsid w:val="00930D69"/>
    <w:rsid w:val="00933EC8"/>
    <w:rsid w:val="00934478"/>
    <w:rsid w:val="009353B4"/>
    <w:rsid w:val="00936273"/>
    <w:rsid w:val="009419CD"/>
    <w:rsid w:val="0094238C"/>
    <w:rsid w:val="00942CB2"/>
    <w:rsid w:val="00945034"/>
    <w:rsid w:val="00946438"/>
    <w:rsid w:val="00952999"/>
    <w:rsid w:val="0095665E"/>
    <w:rsid w:val="00957F5E"/>
    <w:rsid w:val="009662B0"/>
    <w:rsid w:val="00966904"/>
    <w:rsid w:val="00971CC0"/>
    <w:rsid w:val="009733CE"/>
    <w:rsid w:val="00974EA3"/>
    <w:rsid w:val="00976B4A"/>
    <w:rsid w:val="00977EF4"/>
    <w:rsid w:val="00986520"/>
    <w:rsid w:val="0099673E"/>
    <w:rsid w:val="00997359"/>
    <w:rsid w:val="009974B5"/>
    <w:rsid w:val="00997EA4"/>
    <w:rsid w:val="009A0985"/>
    <w:rsid w:val="009A16A4"/>
    <w:rsid w:val="009A2157"/>
    <w:rsid w:val="009A7816"/>
    <w:rsid w:val="009B1FE0"/>
    <w:rsid w:val="009B2158"/>
    <w:rsid w:val="009B2E57"/>
    <w:rsid w:val="009B31E6"/>
    <w:rsid w:val="009B3F5C"/>
    <w:rsid w:val="009B76CF"/>
    <w:rsid w:val="009C0D75"/>
    <w:rsid w:val="009C524E"/>
    <w:rsid w:val="009D1F1E"/>
    <w:rsid w:val="009E008E"/>
    <w:rsid w:val="009E1518"/>
    <w:rsid w:val="009E1C9E"/>
    <w:rsid w:val="009E414F"/>
    <w:rsid w:val="009E4891"/>
    <w:rsid w:val="009E61AE"/>
    <w:rsid w:val="009F3274"/>
    <w:rsid w:val="009F683D"/>
    <w:rsid w:val="00A04632"/>
    <w:rsid w:val="00A049D5"/>
    <w:rsid w:val="00A05728"/>
    <w:rsid w:val="00A134E7"/>
    <w:rsid w:val="00A13777"/>
    <w:rsid w:val="00A13897"/>
    <w:rsid w:val="00A14A2F"/>
    <w:rsid w:val="00A207E3"/>
    <w:rsid w:val="00A21DBF"/>
    <w:rsid w:val="00A21E2D"/>
    <w:rsid w:val="00A2227F"/>
    <w:rsid w:val="00A22699"/>
    <w:rsid w:val="00A242EA"/>
    <w:rsid w:val="00A27987"/>
    <w:rsid w:val="00A31284"/>
    <w:rsid w:val="00A364F6"/>
    <w:rsid w:val="00A37AAD"/>
    <w:rsid w:val="00A42382"/>
    <w:rsid w:val="00A424FF"/>
    <w:rsid w:val="00A425BD"/>
    <w:rsid w:val="00A4290D"/>
    <w:rsid w:val="00A45FE6"/>
    <w:rsid w:val="00A46295"/>
    <w:rsid w:val="00A464F6"/>
    <w:rsid w:val="00A47CB8"/>
    <w:rsid w:val="00A576EB"/>
    <w:rsid w:val="00A5779D"/>
    <w:rsid w:val="00A641D1"/>
    <w:rsid w:val="00A643B9"/>
    <w:rsid w:val="00A646C4"/>
    <w:rsid w:val="00A64CA1"/>
    <w:rsid w:val="00A6608E"/>
    <w:rsid w:val="00A6749B"/>
    <w:rsid w:val="00A7165B"/>
    <w:rsid w:val="00A7236D"/>
    <w:rsid w:val="00A72DD1"/>
    <w:rsid w:val="00A73C6F"/>
    <w:rsid w:val="00A74E34"/>
    <w:rsid w:val="00A76623"/>
    <w:rsid w:val="00A842AA"/>
    <w:rsid w:val="00A84F03"/>
    <w:rsid w:val="00A85561"/>
    <w:rsid w:val="00A94916"/>
    <w:rsid w:val="00A94AC1"/>
    <w:rsid w:val="00A95EC7"/>
    <w:rsid w:val="00A96DC0"/>
    <w:rsid w:val="00A97B1F"/>
    <w:rsid w:val="00AA1FF8"/>
    <w:rsid w:val="00AA497C"/>
    <w:rsid w:val="00AA6F49"/>
    <w:rsid w:val="00AA7176"/>
    <w:rsid w:val="00AA7D3F"/>
    <w:rsid w:val="00AB7224"/>
    <w:rsid w:val="00AC10C2"/>
    <w:rsid w:val="00AC1643"/>
    <w:rsid w:val="00AD0F6C"/>
    <w:rsid w:val="00AD1701"/>
    <w:rsid w:val="00AD26C3"/>
    <w:rsid w:val="00AE0798"/>
    <w:rsid w:val="00AE4872"/>
    <w:rsid w:val="00AE6838"/>
    <w:rsid w:val="00AE7E88"/>
    <w:rsid w:val="00AF19D2"/>
    <w:rsid w:val="00AF2373"/>
    <w:rsid w:val="00AF342B"/>
    <w:rsid w:val="00AF4189"/>
    <w:rsid w:val="00AF70C0"/>
    <w:rsid w:val="00AF71FC"/>
    <w:rsid w:val="00AF74A3"/>
    <w:rsid w:val="00B0025D"/>
    <w:rsid w:val="00B041FC"/>
    <w:rsid w:val="00B07A5B"/>
    <w:rsid w:val="00B139FF"/>
    <w:rsid w:val="00B14D2D"/>
    <w:rsid w:val="00B27CED"/>
    <w:rsid w:val="00B27F87"/>
    <w:rsid w:val="00B3037C"/>
    <w:rsid w:val="00B31025"/>
    <w:rsid w:val="00B337E2"/>
    <w:rsid w:val="00B34A0B"/>
    <w:rsid w:val="00B34C88"/>
    <w:rsid w:val="00B37A45"/>
    <w:rsid w:val="00B40C0C"/>
    <w:rsid w:val="00B41E69"/>
    <w:rsid w:val="00B42F68"/>
    <w:rsid w:val="00B43B72"/>
    <w:rsid w:val="00B44B5B"/>
    <w:rsid w:val="00B50998"/>
    <w:rsid w:val="00B52150"/>
    <w:rsid w:val="00B53F66"/>
    <w:rsid w:val="00B556F7"/>
    <w:rsid w:val="00B62E4D"/>
    <w:rsid w:val="00B71D4B"/>
    <w:rsid w:val="00B7270D"/>
    <w:rsid w:val="00B7303B"/>
    <w:rsid w:val="00B766A0"/>
    <w:rsid w:val="00B80DCB"/>
    <w:rsid w:val="00B826A7"/>
    <w:rsid w:val="00B83F80"/>
    <w:rsid w:val="00B8686B"/>
    <w:rsid w:val="00B872BF"/>
    <w:rsid w:val="00B93486"/>
    <w:rsid w:val="00B9606D"/>
    <w:rsid w:val="00BA1DE9"/>
    <w:rsid w:val="00BA4527"/>
    <w:rsid w:val="00BA6435"/>
    <w:rsid w:val="00BA69C9"/>
    <w:rsid w:val="00BB044B"/>
    <w:rsid w:val="00BB0D57"/>
    <w:rsid w:val="00BB22C7"/>
    <w:rsid w:val="00BB5A0F"/>
    <w:rsid w:val="00BB5C81"/>
    <w:rsid w:val="00BB61E5"/>
    <w:rsid w:val="00BB6F54"/>
    <w:rsid w:val="00BC0B2E"/>
    <w:rsid w:val="00BC2C17"/>
    <w:rsid w:val="00BC4B6E"/>
    <w:rsid w:val="00BD018C"/>
    <w:rsid w:val="00BD79D9"/>
    <w:rsid w:val="00BE0288"/>
    <w:rsid w:val="00BE1619"/>
    <w:rsid w:val="00BE22F8"/>
    <w:rsid w:val="00BE6D9C"/>
    <w:rsid w:val="00BF0FD3"/>
    <w:rsid w:val="00BF147D"/>
    <w:rsid w:val="00BF55CB"/>
    <w:rsid w:val="00BF6935"/>
    <w:rsid w:val="00C020A7"/>
    <w:rsid w:val="00C0388C"/>
    <w:rsid w:val="00C04DF6"/>
    <w:rsid w:val="00C06720"/>
    <w:rsid w:val="00C0688F"/>
    <w:rsid w:val="00C07FBA"/>
    <w:rsid w:val="00C10B8C"/>
    <w:rsid w:val="00C10ED3"/>
    <w:rsid w:val="00C12113"/>
    <w:rsid w:val="00C13AA3"/>
    <w:rsid w:val="00C162BE"/>
    <w:rsid w:val="00C207A5"/>
    <w:rsid w:val="00C22A0A"/>
    <w:rsid w:val="00C324C2"/>
    <w:rsid w:val="00C33C8F"/>
    <w:rsid w:val="00C34099"/>
    <w:rsid w:val="00C34116"/>
    <w:rsid w:val="00C3470F"/>
    <w:rsid w:val="00C4138F"/>
    <w:rsid w:val="00C41B71"/>
    <w:rsid w:val="00C42FCF"/>
    <w:rsid w:val="00C438A2"/>
    <w:rsid w:val="00C439FF"/>
    <w:rsid w:val="00C44413"/>
    <w:rsid w:val="00C44844"/>
    <w:rsid w:val="00C460C2"/>
    <w:rsid w:val="00C51D38"/>
    <w:rsid w:val="00C54A77"/>
    <w:rsid w:val="00C569E7"/>
    <w:rsid w:val="00C57309"/>
    <w:rsid w:val="00C62E9A"/>
    <w:rsid w:val="00C64347"/>
    <w:rsid w:val="00C667B2"/>
    <w:rsid w:val="00C67CD5"/>
    <w:rsid w:val="00C706F0"/>
    <w:rsid w:val="00C71A56"/>
    <w:rsid w:val="00C730DD"/>
    <w:rsid w:val="00C7391B"/>
    <w:rsid w:val="00C74453"/>
    <w:rsid w:val="00C76A9C"/>
    <w:rsid w:val="00C81AE8"/>
    <w:rsid w:val="00C82724"/>
    <w:rsid w:val="00C847BA"/>
    <w:rsid w:val="00C87695"/>
    <w:rsid w:val="00C90451"/>
    <w:rsid w:val="00C90987"/>
    <w:rsid w:val="00C955E9"/>
    <w:rsid w:val="00C95649"/>
    <w:rsid w:val="00CA087F"/>
    <w:rsid w:val="00CA5C35"/>
    <w:rsid w:val="00CA5D85"/>
    <w:rsid w:val="00CB2075"/>
    <w:rsid w:val="00CB4805"/>
    <w:rsid w:val="00CB5BB5"/>
    <w:rsid w:val="00CB73A1"/>
    <w:rsid w:val="00CC108D"/>
    <w:rsid w:val="00CC25E0"/>
    <w:rsid w:val="00CC33EF"/>
    <w:rsid w:val="00CC34CD"/>
    <w:rsid w:val="00CC3C0E"/>
    <w:rsid w:val="00CC3DF7"/>
    <w:rsid w:val="00CC428D"/>
    <w:rsid w:val="00CD09A5"/>
    <w:rsid w:val="00CD30CA"/>
    <w:rsid w:val="00CD5B3E"/>
    <w:rsid w:val="00CD662B"/>
    <w:rsid w:val="00CD6929"/>
    <w:rsid w:val="00CD6D5B"/>
    <w:rsid w:val="00CE0A9D"/>
    <w:rsid w:val="00CE1314"/>
    <w:rsid w:val="00CE20EC"/>
    <w:rsid w:val="00CE230B"/>
    <w:rsid w:val="00CE458F"/>
    <w:rsid w:val="00CE659D"/>
    <w:rsid w:val="00CE7093"/>
    <w:rsid w:val="00CF2380"/>
    <w:rsid w:val="00D018E2"/>
    <w:rsid w:val="00D06772"/>
    <w:rsid w:val="00D10DBE"/>
    <w:rsid w:val="00D136F4"/>
    <w:rsid w:val="00D15440"/>
    <w:rsid w:val="00D22448"/>
    <w:rsid w:val="00D24EF9"/>
    <w:rsid w:val="00D30EDA"/>
    <w:rsid w:val="00D34FB0"/>
    <w:rsid w:val="00D376F0"/>
    <w:rsid w:val="00D409F9"/>
    <w:rsid w:val="00D4209B"/>
    <w:rsid w:val="00D4253D"/>
    <w:rsid w:val="00D45DD6"/>
    <w:rsid w:val="00D46F41"/>
    <w:rsid w:val="00D526E5"/>
    <w:rsid w:val="00D534E7"/>
    <w:rsid w:val="00D56B0A"/>
    <w:rsid w:val="00D601F7"/>
    <w:rsid w:val="00D64C35"/>
    <w:rsid w:val="00D65AAB"/>
    <w:rsid w:val="00D72A4B"/>
    <w:rsid w:val="00D75645"/>
    <w:rsid w:val="00D8002F"/>
    <w:rsid w:val="00D85361"/>
    <w:rsid w:val="00D938D0"/>
    <w:rsid w:val="00D963BD"/>
    <w:rsid w:val="00D975EB"/>
    <w:rsid w:val="00D976BE"/>
    <w:rsid w:val="00DA0C6A"/>
    <w:rsid w:val="00DA0DFA"/>
    <w:rsid w:val="00DB0129"/>
    <w:rsid w:val="00DB132C"/>
    <w:rsid w:val="00DB464B"/>
    <w:rsid w:val="00DB6A54"/>
    <w:rsid w:val="00DB7527"/>
    <w:rsid w:val="00DB79E5"/>
    <w:rsid w:val="00DB7F38"/>
    <w:rsid w:val="00DD6223"/>
    <w:rsid w:val="00DD7C93"/>
    <w:rsid w:val="00DE23D6"/>
    <w:rsid w:val="00DE36A0"/>
    <w:rsid w:val="00DE42AB"/>
    <w:rsid w:val="00DE62FA"/>
    <w:rsid w:val="00DE7160"/>
    <w:rsid w:val="00DF0ED5"/>
    <w:rsid w:val="00DF31D2"/>
    <w:rsid w:val="00DF6F16"/>
    <w:rsid w:val="00E02011"/>
    <w:rsid w:val="00E13373"/>
    <w:rsid w:val="00E138CB"/>
    <w:rsid w:val="00E14674"/>
    <w:rsid w:val="00E14C3B"/>
    <w:rsid w:val="00E15E2E"/>
    <w:rsid w:val="00E223C1"/>
    <w:rsid w:val="00E24C74"/>
    <w:rsid w:val="00E435EE"/>
    <w:rsid w:val="00E43D07"/>
    <w:rsid w:val="00E44FBB"/>
    <w:rsid w:val="00E4608D"/>
    <w:rsid w:val="00E4668C"/>
    <w:rsid w:val="00E46CB1"/>
    <w:rsid w:val="00E47384"/>
    <w:rsid w:val="00E47BEE"/>
    <w:rsid w:val="00E47C75"/>
    <w:rsid w:val="00E51373"/>
    <w:rsid w:val="00E55E1B"/>
    <w:rsid w:val="00E56051"/>
    <w:rsid w:val="00E565BD"/>
    <w:rsid w:val="00E60BAA"/>
    <w:rsid w:val="00E60E85"/>
    <w:rsid w:val="00E6173C"/>
    <w:rsid w:val="00E62C94"/>
    <w:rsid w:val="00E6454C"/>
    <w:rsid w:val="00E64F14"/>
    <w:rsid w:val="00E67057"/>
    <w:rsid w:val="00E67D94"/>
    <w:rsid w:val="00E72521"/>
    <w:rsid w:val="00E81865"/>
    <w:rsid w:val="00E833B6"/>
    <w:rsid w:val="00E8485D"/>
    <w:rsid w:val="00E86155"/>
    <w:rsid w:val="00E910B3"/>
    <w:rsid w:val="00E9129B"/>
    <w:rsid w:val="00E91961"/>
    <w:rsid w:val="00E91D7C"/>
    <w:rsid w:val="00E920D3"/>
    <w:rsid w:val="00E924E6"/>
    <w:rsid w:val="00E96939"/>
    <w:rsid w:val="00E9739D"/>
    <w:rsid w:val="00E978EA"/>
    <w:rsid w:val="00EA74EE"/>
    <w:rsid w:val="00EB1ED6"/>
    <w:rsid w:val="00EB3249"/>
    <w:rsid w:val="00EB3802"/>
    <w:rsid w:val="00EB3ED1"/>
    <w:rsid w:val="00EB7996"/>
    <w:rsid w:val="00EC1062"/>
    <w:rsid w:val="00EC2283"/>
    <w:rsid w:val="00EC41CC"/>
    <w:rsid w:val="00EC72FB"/>
    <w:rsid w:val="00EC7D7E"/>
    <w:rsid w:val="00ED24E0"/>
    <w:rsid w:val="00ED274F"/>
    <w:rsid w:val="00ED2E3C"/>
    <w:rsid w:val="00ED2F0C"/>
    <w:rsid w:val="00ED3C47"/>
    <w:rsid w:val="00EE47CE"/>
    <w:rsid w:val="00EE4A7B"/>
    <w:rsid w:val="00EE4FD5"/>
    <w:rsid w:val="00EE7D1F"/>
    <w:rsid w:val="00EF0142"/>
    <w:rsid w:val="00EF233E"/>
    <w:rsid w:val="00F023B1"/>
    <w:rsid w:val="00F0557D"/>
    <w:rsid w:val="00F13374"/>
    <w:rsid w:val="00F210D9"/>
    <w:rsid w:val="00F21C9A"/>
    <w:rsid w:val="00F22AA7"/>
    <w:rsid w:val="00F26853"/>
    <w:rsid w:val="00F27884"/>
    <w:rsid w:val="00F27D39"/>
    <w:rsid w:val="00F42452"/>
    <w:rsid w:val="00F43B58"/>
    <w:rsid w:val="00F4593A"/>
    <w:rsid w:val="00F476F6"/>
    <w:rsid w:val="00F53B6F"/>
    <w:rsid w:val="00F553EF"/>
    <w:rsid w:val="00F55F57"/>
    <w:rsid w:val="00F61030"/>
    <w:rsid w:val="00F622B0"/>
    <w:rsid w:val="00F66479"/>
    <w:rsid w:val="00F74103"/>
    <w:rsid w:val="00F74CA9"/>
    <w:rsid w:val="00F82611"/>
    <w:rsid w:val="00F82AAA"/>
    <w:rsid w:val="00F83DE1"/>
    <w:rsid w:val="00F845D8"/>
    <w:rsid w:val="00F86102"/>
    <w:rsid w:val="00F91528"/>
    <w:rsid w:val="00F93C2F"/>
    <w:rsid w:val="00F978A1"/>
    <w:rsid w:val="00FA0BE2"/>
    <w:rsid w:val="00FA775C"/>
    <w:rsid w:val="00FB2E87"/>
    <w:rsid w:val="00FB34A7"/>
    <w:rsid w:val="00FB6B1C"/>
    <w:rsid w:val="00FB7015"/>
    <w:rsid w:val="00FB79BD"/>
    <w:rsid w:val="00FB7FDD"/>
    <w:rsid w:val="00FC23F1"/>
    <w:rsid w:val="00FC5801"/>
    <w:rsid w:val="00FC695F"/>
    <w:rsid w:val="00FC7256"/>
    <w:rsid w:val="00FD2251"/>
    <w:rsid w:val="00FD5FC3"/>
    <w:rsid w:val="00FE0774"/>
    <w:rsid w:val="00FE50B6"/>
    <w:rsid w:val="00FE5A14"/>
    <w:rsid w:val="00FF11AA"/>
    <w:rsid w:val="00FF1A9F"/>
    <w:rsid w:val="00FF71FA"/>
    <w:rsid w:val="00FF7929"/>
    <w:rsid w:val="071C030B"/>
    <w:rsid w:val="0CD61629"/>
    <w:rsid w:val="0DEE276A"/>
    <w:rsid w:val="0F40895F"/>
    <w:rsid w:val="10E17A0A"/>
    <w:rsid w:val="1341840A"/>
    <w:rsid w:val="1CF0EBA6"/>
    <w:rsid w:val="2289252C"/>
    <w:rsid w:val="256F756C"/>
    <w:rsid w:val="264FAB0D"/>
    <w:rsid w:val="2E15E2A8"/>
    <w:rsid w:val="2E7280FB"/>
    <w:rsid w:val="2F82407A"/>
    <w:rsid w:val="31F75420"/>
    <w:rsid w:val="3452F8FD"/>
    <w:rsid w:val="3888E011"/>
    <w:rsid w:val="396C56AB"/>
    <w:rsid w:val="3E2C304C"/>
    <w:rsid w:val="4267D1E4"/>
    <w:rsid w:val="504A2D2E"/>
    <w:rsid w:val="549117FE"/>
    <w:rsid w:val="54E30259"/>
    <w:rsid w:val="5A61C94F"/>
    <w:rsid w:val="5B6D4EF2"/>
    <w:rsid w:val="5BA60DDF"/>
    <w:rsid w:val="5DD92A76"/>
    <w:rsid w:val="64FC1C4F"/>
    <w:rsid w:val="6649942F"/>
    <w:rsid w:val="69E3AB1A"/>
    <w:rsid w:val="6B5EF5FB"/>
    <w:rsid w:val="6CCA3888"/>
    <w:rsid w:val="6D3516BB"/>
    <w:rsid w:val="7246F055"/>
    <w:rsid w:val="734E2080"/>
    <w:rsid w:val="7589813F"/>
    <w:rsid w:val="7A00DBD3"/>
    <w:rsid w:val="7D44E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EB5F"/>
  <w15:chartTrackingRefBased/>
  <w15:docId w15:val="{09A75CCE-D707-4273-8BDD-D38630D7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2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2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2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2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32D"/>
    <w:rPr>
      <w:rFonts w:eastAsiaTheme="majorEastAsia" w:cstheme="majorBidi"/>
      <w:color w:val="272727" w:themeColor="text1" w:themeTint="D8"/>
    </w:rPr>
  </w:style>
  <w:style w:type="paragraph" w:styleId="Title">
    <w:name w:val="Title"/>
    <w:basedOn w:val="Normal"/>
    <w:next w:val="Normal"/>
    <w:link w:val="TitleChar"/>
    <w:uiPriority w:val="10"/>
    <w:qFormat/>
    <w:rsid w:val="00182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32D"/>
    <w:pPr>
      <w:spacing w:before="160"/>
      <w:jc w:val="center"/>
    </w:pPr>
    <w:rPr>
      <w:i/>
      <w:iCs/>
      <w:color w:val="404040" w:themeColor="text1" w:themeTint="BF"/>
    </w:rPr>
  </w:style>
  <w:style w:type="character" w:customStyle="1" w:styleId="QuoteChar">
    <w:name w:val="Quote Char"/>
    <w:basedOn w:val="DefaultParagraphFont"/>
    <w:link w:val="Quote"/>
    <w:uiPriority w:val="29"/>
    <w:rsid w:val="0018232D"/>
    <w:rPr>
      <w:i/>
      <w:iCs/>
      <w:color w:val="404040" w:themeColor="text1" w:themeTint="BF"/>
    </w:rPr>
  </w:style>
  <w:style w:type="paragraph" w:styleId="ListParagraph">
    <w:name w:val="List Paragraph"/>
    <w:basedOn w:val="Normal"/>
    <w:uiPriority w:val="34"/>
    <w:qFormat/>
    <w:rsid w:val="0018232D"/>
    <w:pPr>
      <w:ind w:left="720"/>
      <w:contextualSpacing/>
    </w:pPr>
  </w:style>
  <w:style w:type="character" w:styleId="IntenseEmphasis">
    <w:name w:val="Intense Emphasis"/>
    <w:basedOn w:val="DefaultParagraphFont"/>
    <w:uiPriority w:val="21"/>
    <w:qFormat/>
    <w:rsid w:val="0018232D"/>
    <w:rPr>
      <w:i/>
      <w:iCs/>
      <w:color w:val="0F4761" w:themeColor="accent1" w:themeShade="BF"/>
    </w:rPr>
  </w:style>
  <w:style w:type="paragraph" w:styleId="IntenseQuote">
    <w:name w:val="Intense Quote"/>
    <w:basedOn w:val="Normal"/>
    <w:next w:val="Normal"/>
    <w:link w:val="IntenseQuoteChar"/>
    <w:uiPriority w:val="30"/>
    <w:qFormat/>
    <w:rsid w:val="00182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32D"/>
    <w:rPr>
      <w:i/>
      <w:iCs/>
      <w:color w:val="0F4761" w:themeColor="accent1" w:themeShade="BF"/>
    </w:rPr>
  </w:style>
  <w:style w:type="character" w:styleId="IntenseReference">
    <w:name w:val="Intense Reference"/>
    <w:basedOn w:val="DefaultParagraphFont"/>
    <w:uiPriority w:val="32"/>
    <w:qFormat/>
    <w:rsid w:val="0018232D"/>
    <w:rPr>
      <w:b/>
      <w:bCs/>
      <w:smallCaps/>
      <w:color w:val="0F4761" w:themeColor="accent1" w:themeShade="BF"/>
      <w:spacing w:val="5"/>
    </w:rPr>
  </w:style>
  <w:style w:type="paragraph" w:styleId="BodyText">
    <w:name w:val="Body Text"/>
    <w:basedOn w:val="Normal"/>
    <w:link w:val="BodyTextChar"/>
    <w:uiPriority w:val="1"/>
    <w:qFormat/>
    <w:rsid w:val="00D34FB0"/>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D34FB0"/>
    <w:rPr>
      <w:rFonts w:ascii="Arial" w:eastAsia="Arial" w:hAnsi="Arial" w:cs="Arial"/>
      <w:kern w:val="0"/>
      <w:sz w:val="20"/>
      <w:szCs w:val="20"/>
      <w:lang w:val="en-US"/>
      <w14:ligatures w14:val="none"/>
    </w:rPr>
  </w:style>
  <w:style w:type="table" w:styleId="TableGrid">
    <w:name w:val="Table Grid"/>
    <w:basedOn w:val="TableNormal"/>
    <w:uiPriority w:val="39"/>
    <w:rsid w:val="004E7A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7A64"/>
    <w:rPr>
      <w:sz w:val="16"/>
      <w:szCs w:val="16"/>
    </w:rPr>
  </w:style>
  <w:style w:type="paragraph" w:styleId="CommentText">
    <w:name w:val="annotation text"/>
    <w:basedOn w:val="Normal"/>
    <w:link w:val="CommentTextChar"/>
    <w:uiPriority w:val="99"/>
    <w:unhideWhenUsed/>
    <w:rsid w:val="004E7A64"/>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4E7A64"/>
    <w:rPr>
      <w:kern w:val="0"/>
      <w:sz w:val="20"/>
      <w:szCs w:val="20"/>
      <w14:ligatures w14:val="none"/>
    </w:rPr>
  </w:style>
  <w:style w:type="paragraph" w:styleId="Header">
    <w:name w:val="header"/>
    <w:basedOn w:val="Normal"/>
    <w:link w:val="HeaderChar"/>
    <w:uiPriority w:val="99"/>
    <w:unhideWhenUsed/>
    <w:rsid w:val="00DA0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DFA"/>
  </w:style>
  <w:style w:type="paragraph" w:styleId="Footer">
    <w:name w:val="footer"/>
    <w:basedOn w:val="Normal"/>
    <w:link w:val="FooterChar"/>
    <w:uiPriority w:val="99"/>
    <w:unhideWhenUsed/>
    <w:rsid w:val="00DA0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FA"/>
  </w:style>
  <w:style w:type="paragraph" w:styleId="CommentSubject">
    <w:name w:val="annotation subject"/>
    <w:basedOn w:val="CommentText"/>
    <w:next w:val="CommentText"/>
    <w:link w:val="CommentSubjectChar"/>
    <w:uiPriority w:val="99"/>
    <w:semiHidden/>
    <w:unhideWhenUsed/>
    <w:rsid w:val="006A555B"/>
    <w:rPr>
      <w:b/>
      <w:bCs/>
      <w:kern w:val="2"/>
      <w14:ligatures w14:val="standardContextual"/>
    </w:rPr>
  </w:style>
  <w:style w:type="character" w:customStyle="1" w:styleId="CommentSubjectChar">
    <w:name w:val="Comment Subject Char"/>
    <w:basedOn w:val="CommentTextChar"/>
    <w:link w:val="CommentSubject"/>
    <w:uiPriority w:val="99"/>
    <w:semiHidden/>
    <w:rsid w:val="006A555B"/>
    <w:rPr>
      <w:b/>
      <w:bCs/>
      <w:kern w:val="0"/>
      <w:sz w:val="20"/>
      <w:szCs w:val="20"/>
      <w14:ligatures w14:val="none"/>
    </w:rPr>
  </w:style>
  <w:style w:type="character" w:styleId="Hyperlink">
    <w:name w:val="Hyperlink"/>
    <w:basedOn w:val="DefaultParagraphFont"/>
    <w:uiPriority w:val="99"/>
    <w:unhideWhenUsed/>
    <w:rsid w:val="00A22699"/>
    <w:rPr>
      <w:color w:val="467886" w:themeColor="hyperlink"/>
      <w:u w:val="single"/>
    </w:rPr>
  </w:style>
  <w:style w:type="character" w:styleId="UnresolvedMention">
    <w:name w:val="Unresolved Mention"/>
    <w:basedOn w:val="DefaultParagraphFont"/>
    <w:uiPriority w:val="99"/>
    <w:semiHidden/>
    <w:unhideWhenUsed/>
    <w:rsid w:val="00A22699"/>
    <w:rPr>
      <w:color w:val="605E5C"/>
      <w:shd w:val="clear" w:color="auto" w:fill="E1DFDD"/>
    </w:rPr>
  </w:style>
  <w:style w:type="paragraph" w:customStyle="1" w:styleId="TableParagraph">
    <w:name w:val="Table Paragraph"/>
    <w:basedOn w:val="Normal"/>
    <w:uiPriority w:val="1"/>
    <w:qFormat/>
    <w:rsid w:val="001F5744"/>
    <w:pPr>
      <w:widowControl w:val="0"/>
      <w:autoSpaceDE w:val="0"/>
      <w:autoSpaceDN w:val="0"/>
      <w:spacing w:after="0" w:line="240" w:lineRule="auto"/>
      <w:ind w:left="108"/>
    </w:pPr>
    <w:rPr>
      <w:rFonts w:ascii="Symbol" w:eastAsia="Symbol" w:hAnsi="Symbol" w:cs="Symbol"/>
      <w:kern w:val="0"/>
      <w:lang w:val="en-US"/>
      <w14:ligatures w14:val="none"/>
    </w:rPr>
  </w:style>
  <w:style w:type="paragraph" w:styleId="Revision">
    <w:name w:val="Revision"/>
    <w:hidden/>
    <w:uiPriority w:val="99"/>
    <w:semiHidden/>
    <w:rsid w:val="00356E90"/>
    <w:pPr>
      <w:spacing w:after="0" w:line="240" w:lineRule="auto"/>
    </w:pPr>
  </w:style>
  <w:style w:type="paragraph" w:customStyle="1" w:styleId="k3ksmc">
    <w:name w:val="k3ksmc"/>
    <w:basedOn w:val="Normal"/>
    <w:rsid w:val="00AA1FF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uv3um">
    <w:name w:val="uv3um"/>
    <w:basedOn w:val="DefaultParagraphFont"/>
    <w:rsid w:val="00AA1FF8"/>
  </w:style>
  <w:style w:type="character" w:styleId="Strong">
    <w:name w:val="Strong"/>
    <w:basedOn w:val="DefaultParagraphFont"/>
    <w:uiPriority w:val="22"/>
    <w:qFormat/>
    <w:rsid w:val="00AA1FF8"/>
    <w:rPr>
      <w:b/>
      <w:bCs/>
    </w:rPr>
  </w:style>
  <w:style w:type="paragraph" w:styleId="NoSpacing">
    <w:name w:val="No Spacing"/>
    <w:uiPriority w:val="1"/>
    <w:qFormat/>
    <w:rsid w:val="00AA1F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595769">
      <w:bodyDiv w:val="1"/>
      <w:marLeft w:val="0"/>
      <w:marRight w:val="0"/>
      <w:marTop w:val="0"/>
      <w:marBottom w:val="0"/>
      <w:divBdr>
        <w:top w:val="none" w:sz="0" w:space="0" w:color="auto"/>
        <w:left w:val="none" w:sz="0" w:space="0" w:color="auto"/>
        <w:bottom w:val="none" w:sz="0" w:space="0" w:color="auto"/>
        <w:right w:val="none" w:sz="0" w:space="0" w:color="auto"/>
      </w:divBdr>
      <w:divsChild>
        <w:div w:id="1336345137">
          <w:marLeft w:val="-420"/>
          <w:marRight w:val="0"/>
          <w:marTop w:val="0"/>
          <w:marBottom w:val="0"/>
          <w:divBdr>
            <w:top w:val="none" w:sz="0" w:space="0" w:color="auto"/>
            <w:left w:val="none" w:sz="0" w:space="0" w:color="auto"/>
            <w:bottom w:val="none" w:sz="0" w:space="0" w:color="auto"/>
            <w:right w:val="none" w:sz="0" w:space="0" w:color="auto"/>
          </w:divBdr>
          <w:divsChild>
            <w:div w:id="2091851286">
              <w:marLeft w:val="0"/>
              <w:marRight w:val="0"/>
              <w:marTop w:val="0"/>
              <w:marBottom w:val="0"/>
              <w:divBdr>
                <w:top w:val="none" w:sz="0" w:space="0" w:color="auto"/>
                <w:left w:val="none" w:sz="0" w:space="0" w:color="auto"/>
                <w:bottom w:val="none" w:sz="0" w:space="0" w:color="auto"/>
                <w:right w:val="none" w:sz="0" w:space="0" w:color="auto"/>
              </w:divBdr>
              <w:divsChild>
                <w:div w:id="397635145">
                  <w:marLeft w:val="0"/>
                  <w:marRight w:val="0"/>
                  <w:marTop w:val="0"/>
                  <w:marBottom w:val="0"/>
                  <w:divBdr>
                    <w:top w:val="none" w:sz="0" w:space="0" w:color="auto"/>
                    <w:left w:val="none" w:sz="0" w:space="0" w:color="auto"/>
                    <w:bottom w:val="none" w:sz="0" w:space="0" w:color="auto"/>
                    <w:right w:val="none" w:sz="0" w:space="0" w:color="auto"/>
                  </w:divBdr>
                  <w:divsChild>
                    <w:div w:id="7783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0379">
          <w:marLeft w:val="-420"/>
          <w:marRight w:val="0"/>
          <w:marTop w:val="0"/>
          <w:marBottom w:val="0"/>
          <w:divBdr>
            <w:top w:val="none" w:sz="0" w:space="0" w:color="auto"/>
            <w:left w:val="none" w:sz="0" w:space="0" w:color="auto"/>
            <w:bottom w:val="none" w:sz="0" w:space="0" w:color="auto"/>
            <w:right w:val="none" w:sz="0" w:space="0" w:color="auto"/>
          </w:divBdr>
          <w:divsChild>
            <w:div w:id="490562812">
              <w:marLeft w:val="0"/>
              <w:marRight w:val="0"/>
              <w:marTop w:val="0"/>
              <w:marBottom w:val="0"/>
              <w:divBdr>
                <w:top w:val="none" w:sz="0" w:space="0" w:color="auto"/>
                <w:left w:val="none" w:sz="0" w:space="0" w:color="auto"/>
                <w:bottom w:val="none" w:sz="0" w:space="0" w:color="auto"/>
                <w:right w:val="none" w:sz="0" w:space="0" w:color="auto"/>
              </w:divBdr>
              <w:divsChild>
                <w:div w:id="789010002">
                  <w:marLeft w:val="0"/>
                  <w:marRight w:val="0"/>
                  <w:marTop w:val="0"/>
                  <w:marBottom w:val="0"/>
                  <w:divBdr>
                    <w:top w:val="none" w:sz="0" w:space="0" w:color="auto"/>
                    <w:left w:val="none" w:sz="0" w:space="0" w:color="auto"/>
                    <w:bottom w:val="none" w:sz="0" w:space="0" w:color="auto"/>
                    <w:right w:val="none" w:sz="0" w:space="0" w:color="auto"/>
                  </w:divBdr>
                  <w:divsChild>
                    <w:div w:id="496458860">
                      <w:marLeft w:val="0"/>
                      <w:marRight w:val="0"/>
                      <w:marTop w:val="0"/>
                      <w:marBottom w:val="0"/>
                      <w:divBdr>
                        <w:top w:val="none" w:sz="0" w:space="0" w:color="auto"/>
                        <w:left w:val="none" w:sz="0" w:space="0" w:color="auto"/>
                        <w:bottom w:val="none" w:sz="0" w:space="0" w:color="auto"/>
                        <w:right w:val="none" w:sz="0" w:space="0" w:color="auto"/>
                      </w:divBdr>
                    </w:div>
                    <w:div w:id="17172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741E2102B4B84F8BB521DB27014B50" ma:contentTypeVersion="4" ma:contentTypeDescription="Create a new document." ma:contentTypeScope="" ma:versionID="6d3fee69ac166a3a040989bcb9df3f5c">
  <xsd:schema xmlns:xsd="http://www.w3.org/2001/XMLSchema" xmlns:xs="http://www.w3.org/2001/XMLSchema" xmlns:p="http://schemas.microsoft.com/office/2006/metadata/properties" xmlns:ns2="62f5988f-8fed-455f-9c42-d8b52bc9a346" targetNamespace="http://schemas.microsoft.com/office/2006/metadata/properties" ma:root="true" ma:fieldsID="abc4b071f339cdfa81584698b826c14e" ns2:_="">
    <xsd:import namespace="62f5988f-8fed-455f-9c42-d8b52bc9a3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5988f-8fed-455f-9c42-d8b52bc9a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3EDF8-375D-432D-BD25-27A2BE933D9B}">
  <ds:schemaRefs>
    <ds:schemaRef ds:uri="http://schemas.microsoft.com/sharepoint/v3/contenttype/forms"/>
  </ds:schemaRefs>
</ds:datastoreItem>
</file>

<file path=customXml/itemProps2.xml><?xml version="1.0" encoding="utf-8"?>
<ds:datastoreItem xmlns:ds="http://schemas.openxmlformats.org/officeDocument/2006/customXml" ds:itemID="{5DDC0C5A-01BF-4D78-958B-9BF106DE2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5988f-8fed-455f-9c42-d8b52bc9a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42399-E8B4-45E6-8807-670F5B28FD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13</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Dunstan</dc:creator>
  <cp:keywords/>
  <dc:description/>
  <cp:lastModifiedBy>Anwen Lovett</cp:lastModifiedBy>
  <cp:revision>17</cp:revision>
  <cp:lastPrinted>2025-07-09T04:36:00Z</cp:lastPrinted>
  <dcterms:created xsi:type="dcterms:W3CDTF">2025-06-30T05:58:00Z</dcterms:created>
  <dcterms:modified xsi:type="dcterms:W3CDTF">2025-07-14T01:24:00Z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0x01010086741E2102B4B84F8BB521DB27014B50</vt:lpwstr>
  </property>
</Properties>
</file>