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D759" w14:textId="77777777" w:rsidR="00C06C2B" w:rsidRPr="00C06C2B" w:rsidRDefault="00C06C2B" w:rsidP="00577E7C">
      <w:pPr>
        <w:spacing w:line="480" w:lineRule="auto"/>
        <w:jc w:val="both"/>
        <w:rPr>
          <w:rFonts w:ascii="Gill Sans MT" w:hAnsi="Gill Sans MT"/>
          <w:b/>
          <w:bCs/>
          <w:sz w:val="24"/>
          <w:szCs w:val="24"/>
        </w:rPr>
      </w:pPr>
      <w:r w:rsidRPr="00C06C2B">
        <w:rPr>
          <w:rFonts w:ascii="Gill Sans MT" w:hAnsi="Gill Sans MT"/>
          <w:b/>
          <w:bCs/>
          <w:color w:val="000000" w:themeColor="text1"/>
          <w:sz w:val="24"/>
          <w:szCs w:val="24"/>
        </w:rPr>
        <w:t>Appendix</w:t>
      </w:r>
      <w:r w:rsidRPr="00C06C2B">
        <w:rPr>
          <w:rFonts w:ascii="Gill Sans MT" w:hAnsi="Gill Sans MT"/>
          <w:b/>
          <w:bCs/>
          <w:sz w:val="24"/>
          <w:szCs w:val="24"/>
        </w:rPr>
        <w:t xml:space="preserve"> E</w:t>
      </w:r>
    </w:p>
    <w:p w14:paraId="79F7E7FE" w14:textId="0F3FE765" w:rsidR="00577E7C" w:rsidRPr="00A33638" w:rsidRDefault="007E1E5D" w:rsidP="00577E7C">
      <w:pPr>
        <w:spacing w:line="480" w:lineRule="auto"/>
        <w:jc w:val="both"/>
      </w:pPr>
      <w:r>
        <w:t>COMING TO GRIPS WITH</w:t>
      </w:r>
      <w:r w:rsidR="00577E7C">
        <w:t xml:space="preserve"> GREASY PIG</w:t>
      </w:r>
      <w:r w:rsidR="00085411">
        <w:t xml:space="preserve"> DISEASE</w:t>
      </w:r>
      <w:r w:rsidR="00577E7C">
        <w:t xml:space="preserve">: </w:t>
      </w:r>
      <w:r w:rsidR="00282671">
        <w:t xml:space="preserve">A </w:t>
      </w:r>
      <w:r w:rsidR="00577E7C">
        <w:t>DETAILED ANALYSIS OF A PORCINE EXUDATIVE EPIDERMITIS OUTBREAK</w:t>
      </w:r>
    </w:p>
    <w:p w14:paraId="368BE719" w14:textId="4936AA32" w:rsidR="00577E7C" w:rsidRPr="00F6689E" w:rsidRDefault="00577E7C" w:rsidP="00577E7C">
      <w:pPr>
        <w:spacing w:line="480" w:lineRule="auto"/>
        <w:jc w:val="both"/>
        <w:rPr>
          <w:vertAlign w:val="superscript"/>
        </w:rPr>
      </w:pPr>
      <w:r>
        <w:t>Alec Truswell</w:t>
      </w:r>
      <w:r>
        <w:rPr>
          <w:vertAlign w:val="superscript"/>
        </w:rPr>
        <w:t>1</w:t>
      </w:r>
      <w:r>
        <w:t>, David Jordan</w:t>
      </w:r>
      <w:r>
        <w:rPr>
          <w:vertAlign w:val="superscript"/>
        </w:rPr>
        <w:t>1,3</w:t>
      </w:r>
      <w:r>
        <w:t>,</w:t>
      </w:r>
      <w:r w:rsidR="006D18CA" w:rsidRPr="006D18CA">
        <w:t xml:space="preserve"> </w:t>
      </w:r>
      <w:r w:rsidR="006D18CA">
        <w:t xml:space="preserve">Stanley </w:t>
      </w:r>
      <w:r w:rsidR="006D18CA" w:rsidRPr="00577E7C">
        <w:t>Pang</w:t>
      </w:r>
      <w:r w:rsidR="006D18CA" w:rsidRPr="00577E7C">
        <w:rPr>
          <w:vertAlign w:val="superscript"/>
        </w:rPr>
        <w:t>1</w:t>
      </w:r>
      <w:r w:rsidR="006D18CA">
        <w:t>,</w:t>
      </w:r>
      <w:r>
        <w:t xml:space="preserve"> Tanya </w:t>
      </w:r>
      <w:r w:rsidR="1A1CBE0F">
        <w:t>Cherrington</w:t>
      </w:r>
      <w:r w:rsidR="008363EF" w:rsidRPr="73EFAD55">
        <w:rPr>
          <w:vertAlign w:val="superscript"/>
        </w:rPr>
        <w:t>1</w:t>
      </w:r>
      <w:r>
        <w:t xml:space="preserve">, </w:t>
      </w:r>
      <w:r w:rsidR="005F5048">
        <w:t xml:space="preserve">David </w:t>
      </w:r>
      <w:r w:rsidR="00933C2A">
        <w:t xml:space="preserve">J. </w:t>
      </w:r>
      <w:r w:rsidR="005F5048">
        <w:t>Hampson</w:t>
      </w:r>
      <w:r w:rsidR="005F5048">
        <w:rPr>
          <w:vertAlign w:val="superscript"/>
        </w:rPr>
        <w:t>1</w:t>
      </w:r>
      <w:r w:rsidR="005F5048">
        <w:t xml:space="preserve">, </w:t>
      </w:r>
      <w:r w:rsidRPr="00577E7C">
        <w:t>John</w:t>
      </w:r>
      <w:r>
        <w:t xml:space="preserve"> Blinco</w:t>
      </w:r>
      <w:r>
        <w:rPr>
          <w:vertAlign w:val="superscript"/>
        </w:rPr>
        <w:t>1</w:t>
      </w:r>
      <w:r>
        <w:t>, Sandy Adsett</w:t>
      </w:r>
      <w:r w:rsidR="00B622CA">
        <w:rPr>
          <w:vertAlign w:val="superscript"/>
        </w:rPr>
        <w:t>2</w:t>
      </w:r>
      <w:r>
        <w:t>, Rebecca Abraham</w:t>
      </w:r>
      <w:r>
        <w:rPr>
          <w:vertAlign w:val="superscript"/>
        </w:rPr>
        <w:t>1</w:t>
      </w:r>
      <w:r>
        <w:t xml:space="preserve">, </w:t>
      </w:r>
      <w:r w:rsidR="00B622CA">
        <w:t>Marc Stegger</w:t>
      </w:r>
      <w:r w:rsidR="00B622CA">
        <w:rPr>
          <w:vertAlign w:val="superscript"/>
        </w:rPr>
        <w:t>1,3</w:t>
      </w:r>
      <w:r w:rsidR="00B622CA">
        <w:t xml:space="preserve">, </w:t>
      </w:r>
      <w:r>
        <w:t>Sam Abraham</w:t>
      </w:r>
      <w:r>
        <w:rPr>
          <w:vertAlign w:val="superscript"/>
        </w:rPr>
        <w:t>1*</w:t>
      </w:r>
    </w:p>
    <w:p w14:paraId="302D6C3F" w14:textId="77777777" w:rsidR="00577E7C" w:rsidRDefault="00577E7C" w:rsidP="00577E7C">
      <w:pPr>
        <w:spacing w:line="480" w:lineRule="auto"/>
        <w:jc w:val="both"/>
      </w:pPr>
    </w:p>
    <w:p w14:paraId="0F722F23" w14:textId="36793CA8" w:rsidR="00577E7C" w:rsidRPr="00B622CA" w:rsidRDefault="00577E7C" w:rsidP="00B622CA">
      <w:pPr>
        <w:spacing w:line="480" w:lineRule="auto"/>
        <w:jc w:val="both"/>
      </w:pPr>
      <w:r w:rsidRPr="00F6689E">
        <w:rPr>
          <w:vertAlign w:val="superscript"/>
        </w:rPr>
        <w:t>1</w:t>
      </w:r>
      <w:r w:rsidRPr="00F6689E">
        <w:t>Antimicrobial Resistance and Infectious Diseases Laboratory, Harry Butler Institute, Murdoch University, Murdoch, WA, Australia</w:t>
      </w:r>
    </w:p>
    <w:p w14:paraId="2A871DC5" w14:textId="6A1732E5" w:rsidR="00577E7C" w:rsidRDefault="00B622CA" w:rsidP="00577E7C">
      <w:pPr>
        <w:spacing w:before="100" w:beforeAutospacing="1" w:after="100" w:afterAutospacing="1" w:line="480" w:lineRule="auto"/>
        <w:jc w:val="both"/>
        <w:rPr>
          <w:rFonts w:cstheme="minorHAnsi"/>
          <w:bCs/>
          <w:szCs w:val="22"/>
        </w:rPr>
      </w:pPr>
      <w:r>
        <w:rPr>
          <w:rFonts w:cstheme="minorHAnsi"/>
          <w:bCs/>
          <w:szCs w:val="22"/>
          <w:vertAlign w:val="superscript"/>
        </w:rPr>
        <w:t>2</w:t>
      </w:r>
      <w:r w:rsidR="00577E7C">
        <w:rPr>
          <w:rFonts w:cstheme="minorHAnsi"/>
          <w:bCs/>
          <w:szCs w:val="22"/>
        </w:rPr>
        <w:t>Rivelea Australia Pty Ltd, VIC, Australia</w:t>
      </w:r>
    </w:p>
    <w:p w14:paraId="24EEC2C0" w14:textId="4D1853AE" w:rsidR="00B622CA" w:rsidRPr="00B622CA" w:rsidRDefault="00B622CA" w:rsidP="00577E7C">
      <w:pPr>
        <w:spacing w:before="100" w:beforeAutospacing="1" w:after="100" w:afterAutospacing="1" w:line="480" w:lineRule="auto"/>
        <w:jc w:val="both"/>
        <w:rPr>
          <w:rFonts w:cstheme="minorHAnsi"/>
          <w:bCs/>
          <w:szCs w:val="22"/>
        </w:rPr>
      </w:pPr>
      <w:r>
        <w:rPr>
          <w:rFonts w:cstheme="minorHAnsi"/>
          <w:bCs/>
          <w:szCs w:val="22"/>
          <w:vertAlign w:val="superscript"/>
        </w:rPr>
        <w:t>3</w:t>
      </w:r>
      <w:r>
        <w:rPr>
          <w:rStyle w:val="normaltextrun"/>
          <w:rFonts w:ascii="Calibri" w:hAnsi="Calibri" w:cs="Calibri"/>
          <w:color w:val="000000"/>
          <w:szCs w:val="22"/>
          <w:bdr w:val="none" w:sz="0" w:space="0" w:color="auto" w:frame="1"/>
        </w:rPr>
        <w:t xml:space="preserve">Department of </w:t>
      </w:r>
      <w:r w:rsidR="0085657F">
        <w:rPr>
          <w:rStyle w:val="normaltextrun"/>
          <w:rFonts w:ascii="Calibri" w:hAnsi="Calibri" w:cs="Calibri"/>
          <w:color w:val="000000"/>
          <w:szCs w:val="22"/>
          <w:bdr w:val="none" w:sz="0" w:space="0" w:color="auto" w:frame="1"/>
        </w:rPr>
        <w:t>Sequencing and Bioinformatics</w:t>
      </w:r>
      <w:r>
        <w:rPr>
          <w:rStyle w:val="normaltextrun"/>
          <w:rFonts w:ascii="Calibri" w:hAnsi="Calibri" w:cs="Calibri"/>
          <w:color w:val="000000"/>
          <w:szCs w:val="22"/>
          <w:bdr w:val="none" w:sz="0" w:space="0" w:color="auto" w:frame="1"/>
        </w:rPr>
        <w:t xml:space="preserve">, </w:t>
      </w:r>
      <w:proofErr w:type="spellStart"/>
      <w:r>
        <w:rPr>
          <w:rStyle w:val="normaltextrun"/>
          <w:rFonts w:ascii="Calibri" w:hAnsi="Calibri" w:cs="Calibri"/>
          <w:color w:val="000000"/>
          <w:szCs w:val="22"/>
          <w:bdr w:val="none" w:sz="0" w:space="0" w:color="auto" w:frame="1"/>
        </w:rPr>
        <w:t>Statens</w:t>
      </w:r>
      <w:proofErr w:type="spellEnd"/>
      <w:r>
        <w:rPr>
          <w:rStyle w:val="normaltextrun"/>
          <w:rFonts w:ascii="Calibri" w:hAnsi="Calibri" w:cs="Calibri"/>
          <w:color w:val="000000"/>
          <w:szCs w:val="22"/>
          <w:bdr w:val="none" w:sz="0" w:space="0" w:color="auto" w:frame="1"/>
        </w:rPr>
        <w:t xml:space="preserve"> Serum </w:t>
      </w:r>
      <w:proofErr w:type="spellStart"/>
      <w:r>
        <w:rPr>
          <w:rStyle w:val="normaltextrun"/>
          <w:rFonts w:ascii="Calibri" w:hAnsi="Calibri" w:cs="Calibri"/>
          <w:color w:val="000000"/>
          <w:szCs w:val="22"/>
          <w:bdr w:val="none" w:sz="0" w:space="0" w:color="auto" w:frame="1"/>
        </w:rPr>
        <w:t>Institut</w:t>
      </w:r>
      <w:proofErr w:type="spellEnd"/>
      <w:r>
        <w:rPr>
          <w:rStyle w:val="normaltextrun"/>
          <w:rFonts w:ascii="Calibri" w:hAnsi="Calibri" w:cs="Calibri"/>
          <w:color w:val="000000"/>
          <w:szCs w:val="22"/>
          <w:bdr w:val="none" w:sz="0" w:space="0" w:color="auto" w:frame="1"/>
        </w:rPr>
        <w:t>, Copenhagen, Denmark</w:t>
      </w:r>
    </w:p>
    <w:p w14:paraId="1C8DD00E" w14:textId="77777777" w:rsidR="00577E7C" w:rsidRDefault="00577E7C" w:rsidP="00577E7C">
      <w:pPr>
        <w:spacing w:line="480" w:lineRule="auto"/>
        <w:jc w:val="both"/>
      </w:pPr>
      <w:r w:rsidRPr="400B4230">
        <w:t xml:space="preserve">*Correspondence: </w:t>
      </w:r>
      <w:hyperlink r:id="rId10">
        <w:r w:rsidRPr="400B4230">
          <w:rPr>
            <w:rStyle w:val="Hyperlink"/>
          </w:rPr>
          <w:t>s.abraham@murdoch.edu.au</w:t>
        </w:r>
      </w:hyperlink>
    </w:p>
    <w:p w14:paraId="595C8F06" w14:textId="77777777" w:rsidR="00B8333F" w:rsidRDefault="00B8333F" w:rsidP="00577E7C">
      <w:pPr>
        <w:spacing w:line="480" w:lineRule="auto"/>
        <w:jc w:val="both"/>
      </w:pPr>
    </w:p>
    <w:p w14:paraId="592EED3E" w14:textId="77777777" w:rsidR="00B8333F" w:rsidRDefault="00B8333F" w:rsidP="00577E7C">
      <w:pPr>
        <w:spacing w:line="480" w:lineRule="auto"/>
        <w:jc w:val="both"/>
      </w:pPr>
    </w:p>
    <w:p w14:paraId="2A18C499" w14:textId="77777777" w:rsidR="00B8333F" w:rsidRDefault="00B8333F" w:rsidP="00577E7C">
      <w:pPr>
        <w:spacing w:line="480" w:lineRule="auto"/>
        <w:jc w:val="both"/>
      </w:pPr>
    </w:p>
    <w:p w14:paraId="540966BD" w14:textId="77777777" w:rsidR="00B8333F" w:rsidRDefault="00B8333F" w:rsidP="00577E7C">
      <w:pPr>
        <w:spacing w:line="480" w:lineRule="auto"/>
        <w:jc w:val="both"/>
      </w:pPr>
    </w:p>
    <w:p w14:paraId="1E5FAEBD" w14:textId="77777777" w:rsidR="00B8333F" w:rsidRDefault="00B8333F" w:rsidP="00577E7C">
      <w:pPr>
        <w:spacing w:line="480" w:lineRule="auto"/>
        <w:jc w:val="both"/>
      </w:pPr>
    </w:p>
    <w:p w14:paraId="61A337A8" w14:textId="77777777" w:rsidR="00B8333F" w:rsidRDefault="00B8333F" w:rsidP="00577E7C">
      <w:pPr>
        <w:spacing w:line="480" w:lineRule="auto"/>
        <w:jc w:val="both"/>
      </w:pPr>
    </w:p>
    <w:p w14:paraId="5166B9DE" w14:textId="77777777" w:rsidR="00B8333F" w:rsidRDefault="00B8333F" w:rsidP="00577E7C">
      <w:pPr>
        <w:spacing w:line="480" w:lineRule="auto"/>
        <w:jc w:val="both"/>
      </w:pPr>
    </w:p>
    <w:p w14:paraId="1DCC8ED7" w14:textId="77777777" w:rsidR="00B8333F" w:rsidRDefault="00B8333F" w:rsidP="00577E7C">
      <w:pPr>
        <w:spacing w:line="480" w:lineRule="auto"/>
        <w:jc w:val="both"/>
      </w:pPr>
    </w:p>
    <w:p w14:paraId="4315818F" w14:textId="77777777" w:rsidR="00C55E6C" w:rsidRDefault="00C55E6C" w:rsidP="00412FCB">
      <w:pPr>
        <w:spacing w:line="480" w:lineRule="auto"/>
        <w:jc w:val="both"/>
      </w:pPr>
    </w:p>
    <w:p w14:paraId="4660BB61" w14:textId="4B275987" w:rsidR="00577E7C" w:rsidRPr="00412FCB" w:rsidRDefault="00577E7C" w:rsidP="00412FCB">
      <w:pPr>
        <w:spacing w:line="480" w:lineRule="auto"/>
        <w:jc w:val="both"/>
        <w:rPr>
          <w:color w:val="0563C1" w:themeColor="hyperlink"/>
          <w:u w:val="single"/>
        </w:rPr>
      </w:pPr>
      <w:r>
        <w:lastRenderedPageBreak/>
        <w:br w:type="page"/>
      </w:r>
    </w:p>
    <w:p w14:paraId="5AE47A03" w14:textId="28D157AC" w:rsidR="006B0FFD" w:rsidRDefault="00577E7C">
      <w:r>
        <w:lastRenderedPageBreak/>
        <w:t>ABSTRACT</w:t>
      </w:r>
    </w:p>
    <w:p w14:paraId="0903EF9A" w14:textId="77777777" w:rsidR="005B5A75" w:rsidRPr="005B5A75" w:rsidRDefault="005B5A75" w:rsidP="005B5A75">
      <w:pPr>
        <w:spacing w:line="480" w:lineRule="auto"/>
        <w:jc w:val="both"/>
      </w:pPr>
      <w:r w:rsidRPr="005B5A75">
        <w:t xml:space="preserve">Exudative epidermitis (EE) poses significant challenges to the pig industry due to resultant high morbidity and mortality rates in piglets. This study examined the microbial ecology, antimicrobial resistance, and genetic diversity of </w:t>
      </w:r>
      <w:r w:rsidRPr="005B5A75">
        <w:rPr>
          <w:i/>
          <w:iCs/>
        </w:rPr>
        <w:t xml:space="preserve">Staphylococcus </w:t>
      </w:r>
      <w:proofErr w:type="spellStart"/>
      <w:r w:rsidRPr="005B5A75">
        <w:rPr>
          <w:i/>
          <w:iCs/>
        </w:rPr>
        <w:t>hyicus</w:t>
      </w:r>
      <w:proofErr w:type="spellEnd"/>
      <w:r w:rsidRPr="005B5A75">
        <w:t xml:space="preserve"> isolates from EE skin lesions during an outbreak in an Australian piggery. A total of 160 bacterial isolates from 20 pigs—comprising </w:t>
      </w:r>
      <w:r w:rsidRPr="005B5A75">
        <w:rPr>
          <w:i/>
          <w:iCs/>
        </w:rPr>
        <w:t xml:space="preserve">S. </w:t>
      </w:r>
      <w:proofErr w:type="spellStart"/>
      <w:r w:rsidRPr="005B5A75">
        <w:rPr>
          <w:i/>
          <w:iCs/>
        </w:rPr>
        <w:t>hyicus</w:t>
      </w:r>
      <w:proofErr w:type="spellEnd"/>
      <w:r w:rsidRPr="005B5A75">
        <w:t xml:space="preserve"> and other cohabiting species—were subjected to phenotypic and whole genome sequencing (WGS) analyses to assess species identity, antimicrobial resistance, virulence factors, and phylogenetic relationships.</w:t>
      </w:r>
    </w:p>
    <w:p w14:paraId="770BADF9" w14:textId="77777777" w:rsidR="005B5A75" w:rsidRPr="005B5A75" w:rsidRDefault="005B5A75" w:rsidP="005B5A75">
      <w:pPr>
        <w:spacing w:line="480" w:lineRule="auto"/>
        <w:jc w:val="both"/>
      </w:pPr>
      <w:r w:rsidRPr="005B5A75">
        <w:rPr>
          <w:i/>
          <w:iCs/>
        </w:rPr>
        <w:t xml:space="preserve">S. </w:t>
      </w:r>
      <w:proofErr w:type="spellStart"/>
      <w:r w:rsidRPr="005B5A75">
        <w:rPr>
          <w:i/>
          <w:iCs/>
        </w:rPr>
        <w:t>hyicus</w:t>
      </w:r>
      <w:proofErr w:type="spellEnd"/>
      <w:r w:rsidRPr="005B5A75">
        <w:t xml:space="preserve"> was the predominant species recovered from EE lesions. Antimicrobial susceptibility testing revealed varied resistance profiles, with notable resistance to erythromycin and tetracycline. Whole genome sequencing identified four distinct genotypic antimicrobial resistance profiles among </w:t>
      </w:r>
      <w:r w:rsidRPr="005B5A75">
        <w:rPr>
          <w:i/>
          <w:iCs/>
        </w:rPr>
        <w:t xml:space="preserve">S. </w:t>
      </w:r>
      <w:proofErr w:type="spellStart"/>
      <w:r w:rsidRPr="005B5A75">
        <w:rPr>
          <w:i/>
          <w:iCs/>
        </w:rPr>
        <w:t>hyicus</w:t>
      </w:r>
      <w:proofErr w:type="spellEnd"/>
      <w:r w:rsidRPr="005B5A75">
        <w:t xml:space="preserve"> isolates, including some conferring resistance to multiple antimicrobial classes. All </w:t>
      </w:r>
      <w:r w:rsidRPr="005B5A75">
        <w:rPr>
          <w:i/>
          <w:iCs/>
        </w:rPr>
        <w:t xml:space="preserve">S. </w:t>
      </w:r>
      <w:proofErr w:type="spellStart"/>
      <w:r w:rsidRPr="005B5A75">
        <w:rPr>
          <w:i/>
          <w:iCs/>
        </w:rPr>
        <w:t>hyicus</w:t>
      </w:r>
      <w:proofErr w:type="spellEnd"/>
      <w:r w:rsidRPr="005B5A75">
        <w:t xml:space="preserve"> isolates carried the exfoliative toxin gene </w:t>
      </w:r>
      <w:proofErr w:type="spellStart"/>
      <w:r w:rsidRPr="005B5A75">
        <w:rPr>
          <w:i/>
          <w:iCs/>
        </w:rPr>
        <w:t>sheta</w:t>
      </w:r>
      <w:proofErr w:type="spellEnd"/>
      <w:r w:rsidRPr="005B5A75">
        <w:t xml:space="preserve">, while 24 also carried </w:t>
      </w:r>
      <w:proofErr w:type="spellStart"/>
      <w:r w:rsidRPr="005B5A75">
        <w:rPr>
          <w:i/>
          <w:iCs/>
        </w:rPr>
        <w:t>exhD</w:t>
      </w:r>
      <w:proofErr w:type="spellEnd"/>
      <w:r w:rsidRPr="005B5A75">
        <w:t xml:space="preserve">. Core genome phylogenetic analysis revealed that 24 of the 27 sequenced </w:t>
      </w:r>
      <w:r w:rsidRPr="005B5A75">
        <w:rPr>
          <w:i/>
          <w:iCs/>
        </w:rPr>
        <w:t xml:space="preserve">S. </w:t>
      </w:r>
      <w:proofErr w:type="spellStart"/>
      <w:r w:rsidRPr="005B5A75">
        <w:rPr>
          <w:i/>
          <w:iCs/>
        </w:rPr>
        <w:t>hyicus</w:t>
      </w:r>
      <w:proofErr w:type="spellEnd"/>
      <w:r w:rsidRPr="005B5A75">
        <w:t xml:space="preserve"> isolates were genetically identical, indicating a highly clonal outbreak.</w:t>
      </w:r>
    </w:p>
    <w:p w14:paraId="161E3128" w14:textId="77777777" w:rsidR="005B5A75" w:rsidRPr="005B5A75" w:rsidRDefault="005B5A75" w:rsidP="005B5A75">
      <w:pPr>
        <w:spacing w:line="480" w:lineRule="auto"/>
        <w:jc w:val="both"/>
      </w:pPr>
      <w:r w:rsidRPr="005B5A75">
        <w:t xml:space="preserve">These findings suggest the outbreak was driven by a single, stable </w:t>
      </w:r>
      <w:r w:rsidRPr="005B5A75">
        <w:rPr>
          <w:i/>
          <w:iCs/>
        </w:rPr>
        <w:t xml:space="preserve">S. </w:t>
      </w:r>
      <w:proofErr w:type="spellStart"/>
      <w:r w:rsidRPr="005B5A75">
        <w:rPr>
          <w:i/>
          <w:iCs/>
        </w:rPr>
        <w:t>hyicus</w:t>
      </w:r>
      <w:proofErr w:type="spellEnd"/>
      <w:r w:rsidRPr="005B5A75">
        <w:t xml:space="preserve"> clone. The methodology and results presented here have important implications for EE outbreak investigation, prevention, and management—highlighting the value of regular, multi-isolate sampling to capture variation in antimicrobial susceptibility and inform both treatment strategies and the potential development of autogenous vaccines targeting dominant outbreak clones.</w:t>
      </w:r>
    </w:p>
    <w:p w14:paraId="4EA1B9C5" w14:textId="63608610" w:rsidR="00577E7C" w:rsidRDefault="00577E7C" w:rsidP="00BB377D">
      <w:pPr>
        <w:spacing w:line="480" w:lineRule="auto"/>
        <w:jc w:val="both"/>
      </w:pPr>
      <w:r>
        <w:br w:type="page"/>
      </w:r>
    </w:p>
    <w:p w14:paraId="1A31CD38" w14:textId="77777777" w:rsidR="00DF6831" w:rsidRDefault="00DF6831">
      <w:r>
        <w:lastRenderedPageBreak/>
        <w:t>KEYWORDS</w:t>
      </w:r>
    </w:p>
    <w:p w14:paraId="56DE5C97" w14:textId="5B569E19" w:rsidR="00DF6831" w:rsidRDefault="00DF6831">
      <w:r>
        <w:t xml:space="preserve">Antimicrobial resistance; Exudative epidermitis; Outbreak; Pigs; </w:t>
      </w:r>
      <w:r>
        <w:rPr>
          <w:i/>
          <w:iCs/>
        </w:rPr>
        <w:t xml:space="preserve">Staphylococcus </w:t>
      </w:r>
      <w:proofErr w:type="spellStart"/>
      <w:r>
        <w:rPr>
          <w:i/>
          <w:iCs/>
        </w:rPr>
        <w:t>hyicus</w:t>
      </w:r>
      <w:proofErr w:type="spellEnd"/>
      <w:r>
        <w:t>.</w:t>
      </w:r>
      <w:r>
        <w:br w:type="page"/>
      </w:r>
    </w:p>
    <w:p w14:paraId="09B99B6C" w14:textId="77777777" w:rsidR="009B4D30" w:rsidRDefault="009B4D30" w:rsidP="009B4D30">
      <w:pPr>
        <w:spacing w:line="480" w:lineRule="auto"/>
      </w:pPr>
      <w:r>
        <w:lastRenderedPageBreak/>
        <w:t>HIGHLIGHTS</w:t>
      </w:r>
    </w:p>
    <w:p w14:paraId="308C32C3" w14:textId="77777777" w:rsidR="009B4D30" w:rsidRDefault="009B4D30" w:rsidP="009B4D30">
      <w:pPr>
        <w:pStyle w:val="ListParagraph"/>
        <w:numPr>
          <w:ilvl w:val="0"/>
          <w:numId w:val="1"/>
        </w:numPr>
        <w:spacing w:line="480" w:lineRule="auto"/>
      </w:pPr>
      <w:r>
        <w:t>Porcine exudative epidermitis lesions are prone to complex bacterial ecology.</w:t>
      </w:r>
    </w:p>
    <w:p w14:paraId="0D8422FB" w14:textId="77777777" w:rsidR="009B4D30" w:rsidRDefault="009B4D30" w:rsidP="009B4D30">
      <w:pPr>
        <w:pStyle w:val="ListParagraph"/>
        <w:numPr>
          <w:ilvl w:val="0"/>
          <w:numId w:val="1"/>
        </w:numPr>
        <w:spacing w:line="480" w:lineRule="auto"/>
      </w:pPr>
      <w:r>
        <w:t xml:space="preserve">Antimicrobial resistance varied within a clonal outbreak of </w:t>
      </w:r>
      <w:r w:rsidRPr="00374777">
        <w:rPr>
          <w:i/>
          <w:iCs/>
        </w:rPr>
        <w:t xml:space="preserve">Staphylococcus </w:t>
      </w:r>
      <w:proofErr w:type="spellStart"/>
      <w:r w:rsidRPr="00374777">
        <w:rPr>
          <w:i/>
          <w:iCs/>
        </w:rPr>
        <w:t>hyicus</w:t>
      </w:r>
      <w:proofErr w:type="spellEnd"/>
      <w:r>
        <w:t>.</w:t>
      </w:r>
    </w:p>
    <w:p w14:paraId="213EBD3E" w14:textId="77777777" w:rsidR="009B4D30" w:rsidRDefault="009B4D30" w:rsidP="009B4D30">
      <w:pPr>
        <w:pStyle w:val="ListParagraph"/>
        <w:numPr>
          <w:ilvl w:val="0"/>
          <w:numId w:val="1"/>
        </w:numPr>
        <w:spacing w:line="480" w:lineRule="auto"/>
      </w:pPr>
      <w:r>
        <w:t>A subset of isolates exhibited multiclass antimicrobial resistance.</w:t>
      </w:r>
    </w:p>
    <w:p w14:paraId="7EEEC6FD" w14:textId="77777777" w:rsidR="009B4D30" w:rsidRDefault="009B4D30" w:rsidP="009B4D30">
      <w:pPr>
        <w:pStyle w:val="ListParagraph"/>
        <w:numPr>
          <w:ilvl w:val="0"/>
          <w:numId w:val="1"/>
        </w:numPr>
        <w:spacing w:line="480" w:lineRule="auto"/>
      </w:pPr>
      <w:r w:rsidRPr="00342930">
        <w:t xml:space="preserve">Multi-isolate sampling </w:t>
      </w:r>
      <w:r>
        <w:t xml:space="preserve">can </w:t>
      </w:r>
      <w:r w:rsidRPr="00342930">
        <w:t>inform antimicrobial therapy and autogenous vaccine</w:t>
      </w:r>
      <w:r>
        <w:t>s.</w:t>
      </w:r>
    </w:p>
    <w:p w14:paraId="12ACC977" w14:textId="77777777" w:rsidR="009B4D30" w:rsidRDefault="009B4D30">
      <w:r>
        <w:br w:type="page"/>
      </w:r>
    </w:p>
    <w:p w14:paraId="6C69941E" w14:textId="518266C1" w:rsidR="00577E7C" w:rsidRDefault="00577E7C" w:rsidP="00577E7C">
      <w:pPr>
        <w:spacing w:line="480" w:lineRule="auto"/>
      </w:pPr>
      <w:r>
        <w:lastRenderedPageBreak/>
        <w:t>INTRODUCTION</w:t>
      </w:r>
    </w:p>
    <w:p w14:paraId="318A9E81" w14:textId="0B9CDB00" w:rsidR="00577E7C" w:rsidRDefault="00577E7C" w:rsidP="00577E7C">
      <w:pPr>
        <w:spacing w:line="480" w:lineRule="auto"/>
        <w:jc w:val="both"/>
      </w:pPr>
      <w:r>
        <w:t xml:space="preserve">Exudative epidermitis </w:t>
      </w:r>
      <w:r w:rsidR="00B27533">
        <w:t>(E</w:t>
      </w:r>
      <w:r w:rsidR="00481489">
        <w:t>E</w:t>
      </w:r>
      <w:r w:rsidR="00B27533">
        <w:t>)</w:t>
      </w:r>
      <w:r w:rsidR="002D7C38">
        <w:t>, otherwise known as Greasy Pig Disease,</w:t>
      </w:r>
      <w:r w:rsidR="00B27533">
        <w:t xml:space="preserve"> </w:t>
      </w:r>
      <w:r>
        <w:t>is a</w:t>
      </w:r>
      <w:r w:rsidR="00B27533">
        <w:t xml:space="preserve"> sporadic</w:t>
      </w:r>
      <w:r>
        <w:t xml:space="preserve"> </w:t>
      </w:r>
      <w:r w:rsidR="002D7C38">
        <w:t>condition affecting</w:t>
      </w:r>
      <w:r>
        <w:t xml:space="preserve"> </w:t>
      </w:r>
      <w:r w:rsidR="00B27533">
        <w:t>young piglets that results in economic loss and welfare concerns to</w:t>
      </w:r>
      <w:r>
        <w:t xml:space="preserve"> the pig industry</w:t>
      </w:r>
      <w:r w:rsidR="00411A77">
        <w:t xml:space="preserve"> </w:t>
      </w:r>
      <w:r w:rsidR="00376F0F">
        <w:rPr>
          <w:noProof/>
        </w:rPr>
        <w:t>[</w:t>
      </w:r>
      <w:r w:rsidR="00311B84">
        <w:rPr>
          <w:noProof/>
        </w:rPr>
        <w:t>1</w:t>
      </w:r>
      <w:r w:rsidR="00376F0F">
        <w:rPr>
          <w:noProof/>
        </w:rPr>
        <w:t>]</w:t>
      </w:r>
      <w:r>
        <w:t xml:space="preserve">. </w:t>
      </w:r>
      <w:r w:rsidR="00B27533">
        <w:t>E</w:t>
      </w:r>
      <w:r w:rsidR="00481489">
        <w:t>E</w:t>
      </w:r>
      <w:r w:rsidR="00B27533">
        <w:t xml:space="preserve"> causes</w:t>
      </w:r>
      <w:r>
        <w:t xml:space="preserve"> high morbidity and mortality rates in piglets, </w:t>
      </w:r>
      <w:r w:rsidR="00B27533">
        <w:t>with</w:t>
      </w:r>
      <w:r>
        <w:t xml:space="preserve"> up to 90% mortality in severely affected litters, where death is often seen within 48 hours</w:t>
      </w:r>
      <w:r w:rsidR="00411A77">
        <w:t xml:space="preserve"> </w:t>
      </w:r>
      <w:r w:rsidR="00376F0F">
        <w:rPr>
          <w:noProof/>
        </w:rPr>
        <w:t>[</w:t>
      </w:r>
      <w:r w:rsidR="00311B84">
        <w:rPr>
          <w:noProof/>
        </w:rPr>
        <w:t>2</w:t>
      </w:r>
      <w:r w:rsidR="00376F0F">
        <w:rPr>
          <w:noProof/>
        </w:rPr>
        <w:t>]</w:t>
      </w:r>
      <w:r>
        <w:t xml:space="preserve">. </w:t>
      </w:r>
      <w:r>
        <w:rPr>
          <w:i/>
          <w:iCs/>
        </w:rPr>
        <w:t xml:space="preserve">Staphylococcus </w:t>
      </w:r>
      <w:proofErr w:type="spellStart"/>
      <w:r>
        <w:rPr>
          <w:i/>
          <w:iCs/>
        </w:rPr>
        <w:t>hyicus</w:t>
      </w:r>
      <w:proofErr w:type="spellEnd"/>
      <w:r>
        <w:t xml:space="preserve"> </w:t>
      </w:r>
      <w:r w:rsidRPr="00577E7C">
        <w:t>is</w:t>
      </w:r>
      <w:r>
        <w:t xml:space="preserve"> the most prominent causative organism </w:t>
      </w:r>
      <w:r w:rsidR="00B27533">
        <w:t>involved</w:t>
      </w:r>
      <w:r>
        <w:t xml:space="preserve">, </w:t>
      </w:r>
      <w:r w:rsidR="00411A77">
        <w:t>al</w:t>
      </w:r>
      <w:r>
        <w:t xml:space="preserve">though </w:t>
      </w:r>
      <w:r w:rsidR="00B27533">
        <w:t xml:space="preserve">anecdotally </w:t>
      </w:r>
      <w:r>
        <w:t>other</w:t>
      </w:r>
      <w:r w:rsidR="00411A77">
        <w:t xml:space="preserve"> </w:t>
      </w:r>
      <w:r w:rsidR="00EB7384">
        <w:rPr>
          <w:i/>
          <w:iCs/>
        </w:rPr>
        <w:t>S</w:t>
      </w:r>
      <w:r w:rsidR="00411A77" w:rsidRPr="00EB7384">
        <w:rPr>
          <w:i/>
          <w:iCs/>
        </w:rPr>
        <w:t>taphylococcus</w:t>
      </w:r>
      <w:r w:rsidRPr="00EB7384">
        <w:rPr>
          <w:i/>
          <w:iCs/>
        </w:rPr>
        <w:t xml:space="preserve"> </w:t>
      </w:r>
      <w:r>
        <w:t>species have been implicated</w:t>
      </w:r>
      <w:r w:rsidR="00933C2A">
        <w:t xml:space="preserve"> </w:t>
      </w:r>
      <w:r w:rsidR="00376F0F">
        <w:rPr>
          <w:noProof/>
        </w:rPr>
        <w:t>[</w:t>
      </w:r>
      <w:r w:rsidR="00311B84">
        <w:rPr>
          <w:noProof/>
        </w:rPr>
        <w:t>3</w:t>
      </w:r>
      <w:r w:rsidR="00376F0F">
        <w:rPr>
          <w:noProof/>
        </w:rPr>
        <w:t>]</w:t>
      </w:r>
      <w:r>
        <w:t>.</w:t>
      </w:r>
    </w:p>
    <w:p w14:paraId="339285B8" w14:textId="0B62F0A6" w:rsidR="00577E7C" w:rsidRDefault="00577E7C" w:rsidP="00577E7C">
      <w:pPr>
        <w:spacing w:line="480" w:lineRule="auto"/>
        <w:jc w:val="both"/>
      </w:pPr>
      <w:r>
        <w:t xml:space="preserve">As a natural commensal of the skin, nose and ears, </w:t>
      </w:r>
      <w:r>
        <w:rPr>
          <w:i/>
          <w:iCs/>
        </w:rPr>
        <w:t xml:space="preserve">S. </w:t>
      </w:r>
      <w:proofErr w:type="spellStart"/>
      <w:r>
        <w:rPr>
          <w:i/>
          <w:iCs/>
        </w:rPr>
        <w:t>hyicus</w:t>
      </w:r>
      <w:proofErr w:type="spellEnd"/>
      <w:r>
        <w:t xml:space="preserve"> can opportunistically capitalise on minor abrasions to </w:t>
      </w:r>
      <w:r w:rsidR="00B27533">
        <w:t xml:space="preserve">invade and </w:t>
      </w:r>
      <w:r>
        <w:t>initiate disease</w:t>
      </w:r>
      <w:r w:rsidR="00411A77">
        <w:t xml:space="preserve"> </w:t>
      </w:r>
      <w:r w:rsidR="00376F0F">
        <w:rPr>
          <w:noProof/>
        </w:rPr>
        <w:t>[</w:t>
      </w:r>
      <w:r w:rsidR="00311B84">
        <w:rPr>
          <w:noProof/>
        </w:rPr>
        <w:t>2, 4</w:t>
      </w:r>
      <w:r w:rsidR="00376F0F">
        <w:rPr>
          <w:noProof/>
        </w:rPr>
        <w:t>]</w:t>
      </w:r>
      <w:r>
        <w:t>. A</w:t>
      </w:r>
      <w:r w:rsidR="00411A77">
        <w:t>n important</w:t>
      </w:r>
      <w:r>
        <w:t xml:space="preserve"> determining factor in the initiation of disease is the possession of exfoliative toxin-producing virulence factors</w:t>
      </w:r>
      <w:r w:rsidR="00411A77">
        <w:t>, encoded by</w:t>
      </w:r>
      <w:r>
        <w:t xml:space="preserve"> </w:t>
      </w:r>
      <w:proofErr w:type="spellStart"/>
      <w:r w:rsidRPr="006C7EC1">
        <w:rPr>
          <w:rFonts w:cstheme="minorHAnsi"/>
          <w:i/>
          <w:iCs/>
          <w:szCs w:val="22"/>
        </w:rPr>
        <w:t>exh</w:t>
      </w:r>
      <w:r w:rsidRPr="008240C5">
        <w:rPr>
          <w:rFonts w:cstheme="minorHAnsi"/>
          <w:i/>
          <w:iCs/>
          <w:szCs w:val="22"/>
        </w:rPr>
        <w:t>A</w:t>
      </w:r>
      <w:proofErr w:type="spellEnd"/>
      <w:r w:rsidRPr="006C7EC1">
        <w:rPr>
          <w:rFonts w:cstheme="minorHAnsi"/>
          <w:szCs w:val="22"/>
        </w:rPr>
        <w:t xml:space="preserve">, </w:t>
      </w:r>
      <w:proofErr w:type="spellStart"/>
      <w:r w:rsidRPr="006C7EC1">
        <w:rPr>
          <w:rFonts w:cstheme="minorHAnsi"/>
          <w:i/>
          <w:iCs/>
          <w:szCs w:val="22"/>
        </w:rPr>
        <w:t>exh</w:t>
      </w:r>
      <w:r w:rsidRPr="008240C5">
        <w:rPr>
          <w:rFonts w:cstheme="minorHAnsi"/>
          <w:i/>
          <w:iCs/>
          <w:szCs w:val="22"/>
        </w:rPr>
        <w:t>B</w:t>
      </w:r>
      <w:proofErr w:type="spellEnd"/>
      <w:r w:rsidRPr="006C7EC1">
        <w:rPr>
          <w:rFonts w:cstheme="minorHAnsi"/>
          <w:szCs w:val="22"/>
        </w:rPr>
        <w:t xml:space="preserve">, </w:t>
      </w:r>
      <w:proofErr w:type="spellStart"/>
      <w:r w:rsidRPr="006C7EC1">
        <w:rPr>
          <w:rFonts w:cstheme="minorHAnsi"/>
          <w:i/>
          <w:iCs/>
          <w:szCs w:val="22"/>
        </w:rPr>
        <w:t>exh</w:t>
      </w:r>
      <w:r w:rsidRPr="008240C5">
        <w:rPr>
          <w:rFonts w:cstheme="minorHAnsi"/>
          <w:i/>
          <w:iCs/>
          <w:szCs w:val="22"/>
        </w:rPr>
        <w:t>C</w:t>
      </w:r>
      <w:proofErr w:type="spellEnd"/>
      <w:r w:rsidRPr="006C7EC1">
        <w:rPr>
          <w:rFonts w:cstheme="minorHAnsi"/>
          <w:szCs w:val="22"/>
        </w:rPr>
        <w:t xml:space="preserve">, </w:t>
      </w:r>
      <w:proofErr w:type="spellStart"/>
      <w:r w:rsidRPr="006C7EC1">
        <w:rPr>
          <w:rFonts w:cstheme="minorHAnsi"/>
          <w:i/>
          <w:iCs/>
          <w:szCs w:val="22"/>
        </w:rPr>
        <w:t>exh</w:t>
      </w:r>
      <w:r w:rsidRPr="008240C5">
        <w:rPr>
          <w:rFonts w:cstheme="minorHAnsi"/>
          <w:i/>
          <w:iCs/>
          <w:szCs w:val="22"/>
        </w:rPr>
        <w:t>D</w:t>
      </w:r>
      <w:proofErr w:type="spellEnd"/>
      <w:r w:rsidRPr="006C7EC1">
        <w:rPr>
          <w:rFonts w:cstheme="minorHAnsi"/>
          <w:szCs w:val="22"/>
        </w:rPr>
        <w:t xml:space="preserve">, </w:t>
      </w:r>
      <w:proofErr w:type="spellStart"/>
      <w:r w:rsidRPr="006C7EC1">
        <w:rPr>
          <w:rFonts w:cstheme="minorHAnsi"/>
          <w:i/>
          <w:iCs/>
          <w:szCs w:val="22"/>
        </w:rPr>
        <w:t>shet</w:t>
      </w:r>
      <w:r w:rsidRPr="008240C5">
        <w:rPr>
          <w:rFonts w:cstheme="minorHAnsi"/>
          <w:i/>
          <w:iCs/>
          <w:szCs w:val="22"/>
        </w:rPr>
        <w:t>a</w:t>
      </w:r>
      <w:proofErr w:type="spellEnd"/>
      <w:r w:rsidRPr="006C7EC1">
        <w:rPr>
          <w:rFonts w:cstheme="minorHAnsi"/>
          <w:szCs w:val="22"/>
        </w:rPr>
        <w:t xml:space="preserve"> and </w:t>
      </w:r>
      <w:proofErr w:type="spellStart"/>
      <w:r w:rsidRPr="006C7EC1">
        <w:rPr>
          <w:rFonts w:cstheme="minorHAnsi"/>
          <w:i/>
          <w:iCs/>
          <w:szCs w:val="22"/>
        </w:rPr>
        <w:t>shet</w:t>
      </w:r>
      <w:r w:rsidRPr="008240C5">
        <w:rPr>
          <w:rFonts w:cstheme="minorHAnsi"/>
          <w:i/>
          <w:iCs/>
          <w:szCs w:val="22"/>
        </w:rPr>
        <w:t>b</w:t>
      </w:r>
      <w:proofErr w:type="spellEnd"/>
      <w:r w:rsidR="00161887">
        <w:rPr>
          <w:rFonts w:cstheme="minorHAnsi"/>
          <w:szCs w:val="22"/>
        </w:rPr>
        <w:t xml:space="preserve"> </w:t>
      </w:r>
      <w:r w:rsidR="00376F0F">
        <w:rPr>
          <w:rFonts w:cstheme="minorHAnsi"/>
          <w:noProof/>
          <w:szCs w:val="22"/>
        </w:rPr>
        <w:t>[</w:t>
      </w:r>
      <w:r w:rsidR="00311B84">
        <w:rPr>
          <w:rFonts w:cstheme="minorHAnsi"/>
          <w:noProof/>
          <w:szCs w:val="22"/>
        </w:rPr>
        <w:t>1, 4</w:t>
      </w:r>
      <w:r w:rsidR="00376F0F">
        <w:rPr>
          <w:rFonts w:cstheme="minorHAnsi"/>
          <w:noProof/>
          <w:szCs w:val="22"/>
        </w:rPr>
        <w:t>]</w:t>
      </w:r>
      <w:r>
        <w:rPr>
          <w:rFonts w:cstheme="minorHAnsi"/>
          <w:szCs w:val="22"/>
        </w:rPr>
        <w:t xml:space="preserve">. </w:t>
      </w:r>
      <w:r w:rsidRPr="006C7EC1">
        <w:rPr>
          <w:rFonts w:cstheme="minorHAnsi"/>
          <w:szCs w:val="22"/>
        </w:rPr>
        <w:t>The</w:t>
      </w:r>
      <w:r w:rsidR="00411A77">
        <w:rPr>
          <w:rFonts w:cstheme="minorHAnsi"/>
          <w:szCs w:val="22"/>
        </w:rPr>
        <w:t>se</w:t>
      </w:r>
      <w:r w:rsidRPr="006C7EC1">
        <w:rPr>
          <w:rFonts w:cstheme="minorHAnsi"/>
          <w:szCs w:val="22"/>
        </w:rPr>
        <w:t xml:space="preserve"> exfoliative toxins are serine proteases that digest porcine desmoglein-1, disrupting cell-to-cell junctions and splitting the epidermis</w:t>
      </w:r>
      <w:r w:rsidR="00161887">
        <w:rPr>
          <w:rFonts w:cstheme="minorHAnsi"/>
          <w:szCs w:val="22"/>
        </w:rPr>
        <w:t xml:space="preserve"> </w:t>
      </w:r>
      <w:r w:rsidR="00376F0F">
        <w:rPr>
          <w:rFonts w:cstheme="minorHAnsi"/>
          <w:noProof/>
          <w:szCs w:val="22"/>
        </w:rPr>
        <w:t>[</w:t>
      </w:r>
      <w:r w:rsidR="00311B84">
        <w:rPr>
          <w:rFonts w:cstheme="minorHAnsi"/>
          <w:noProof/>
          <w:szCs w:val="22"/>
        </w:rPr>
        <w:t>4</w:t>
      </w:r>
      <w:r w:rsidR="00376F0F">
        <w:rPr>
          <w:rFonts w:cstheme="minorHAnsi"/>
          <w:noProof/>
          <w:szCs w:val="22"/>
        </w:rPr>
        <w:t>]</w:t>
      </w:r>
      <w:r>
        <w:t>.</w:t>
      </w:r>
      <w:r w:rsidRPr="00577E7C">
        <w:rPr>
          <w:rFonts w:cstheme="minorHAnsi"/>
          <w:szCs w:val="22"/>
        </w:rPr>
        <w:t xml:space="preserve"> </w:t>
      </w:r>
      <w:r w:rsidR="00B27533">
        <w:rPr>
          <w:rFonts w:cstheme="minorHAnsi"/>
          <w:szCs w:val="22"/>
        </w:rPr>
        <w:t>There is a</w:t>
      </w:r>
      <w:r w:rsidRPr="006C7EC1">
        <w:rPr>
          <w:rFonts w:cstheme="minorHAnsi"/>
          <w:szCs w:val="22"/>
        </w:rPr>
        <w:t>n exfoliated, reddened, and thickened appearance to the skin at the affected site, often resulting in failure to thrive, dehydration, and death in piglets</w:t>
      </w:r>
      <w:r w:rsidR="00161887">
        <w:rPr>
          <w:rFonts w:cstheme="minorHAnsi"/>
          <w:szCs w:val="22"/>
        </w:rPr>
        <w:t xml:space="preserve"> </w:t>
      </w:r>
      <w:r w:rsidR="00376F0F">
        <w:rPr>
          <w:rFonts w:cstheme="minorHAnsi"/>
          <w:noProof/>
          <w:szCs w:val="22"/>
        </w:rPr>
        <w:t>[</w:t>
      </w:r>
      <w:r w:rsidR="00311B84">
        <w:rPr>
          <w:rFonts w:cstheme="minorHAnsi"/>
          <w:noProof/>
          <w:szCs w:val="22"/>
        </w:rPr>
        <w:t>4</w:t>
      </w:r>
      <w:r w:rsidR="00376F0F">
        <w:rPr>
          <w:rFonts w:cstheme="minorHAnsi"/>
          <w:noProof/>
          <w:szCs w:val="22"/>
        </w:rPr>
        <w:t>]</w:t>
      </w:r>
      <w:r>
        <w:t>.</w:t>
      </w:r>
    </w:p>
    <w:p w14:paraId="5836610A" w14:textId="61C1C51D" w:rsidR="00577E7C" w:rsidRDefault="006262FC" w:rsidP="00577E7C">
      <w:pPr>
        <w:spacing w:line="480" w:lineRule="auto"/>
        <w:jc w:val="both"/>
      </w:pPr>
      <w:r>
        <w:t>Given the pathognomonic nature of the disease, confirmatory testing – via the isolation and identification of</w:t>
      </w:r>
      <w:r w:rsidR="00612DEF">
        <w:t xml:space="preserve"> a single</w:t>
      </w:r>
      <w:r>
        <w:t xml:space="preserve"> </w:t>
      </w:r>
      <w:r>
        <w:rPr>
          <w:i/>
          <w:iCs/>
        </w:rPr>
        <w:t xml:space="preserve">S. </w:t>
      </w:r>
      <w:proofErr w:type="spellStart"/>
      <w:r>
        <w:rPr>
          <w:i/>
          <w:iCs/>
        </w:rPr>
        <w:t>hyicus</w:t>
      </w:r>
      <w:proofErr w:type="spellEnd"/>
      <w:r>
        <w:t xml:space="preserve"> </w:t>
      </w:r>
      <w:r w:rsidR="00612DEF">
        <w:t xml:space="preserve">colony </w:t>
      </w:r>
      <w:r>
        <w:t>from a lesion – is the standard diagnostic approach</w:t>
      </w:r>
      <w:r w:rsidR="00161887">
        <w:rPr>
          <w:rFonts w:cstheme="minorHAnsi"/>
          <w:szCs w:val="22"/>
        </w:rPr>
        <w:t xml:space="preserve"> </w:t>
      </w:r>
      <w:r w:rsidR="00376F0F">
        <w:rPr>
          <w:rFonts w:cstheme="minorHAnsi"/>
          <w:noProof/>
          <w:szCs w:val="22"/>
        </w:rPr>
        <w:t>[</w:t>
      </w:r>
      <w:r w:rsidR="00311B84">
        <w:rPr>
          <w:rFonts w:cstheme="minorHAnsi"/>
          <w:noProof/>
          <w:szCs w:val="22"/>
        </w:rPr>
        <w:t>2</w:t>
      </w:r>
      <w:r w:rsidR="00376F0F">
        <w:rPr>
          <w:rFonts w:cstheme="minorHAnsi"/>
          <w:noProof/>
          <w:szCs w:val="22"/>
        </w:rPr>
        <w:t>]</w:t>
      </w:r>
      <w:r>
        <w:t xml:space="preserve">. </w:t>
      </w:r>
      <w:r w:rsidR="002D7C38">
        <w:t>It is known that isolates of other bacterial pathogens</w:t>
      </w:r>
      <w:r w:rsidR="006B424F">
        <w:t xml:space="preserve"> such as </w:t>
      </w:r>
      <w:r w:rsidR="006B424F" w:rsidRPr="006B424F">
        <w:rPr>
          <w:i/>
          <w:iCs/>
        </w:rPr>
        <w:t>Escherichia coli</w:t>
      </w:r>
      <w:r w:rsidR="006B424F">
        <w:t>, recovered from individual pigs,</w:t>
      </w:r>
      <w:r w:rsidR="002D7C38">
        <w:t xml:space="preserve"> may demonstrate considerable clonal diversity</w:t>
      </w:r>
      <w:r w:rsidR="00DD2F03">
        <w:t xml:space="preserve"> </w:t>
      </w:r>
      <w:r w:rsidR="006E55B6">
        <w:t xml:space="preserve">which </w:t>
      </w:r>
      <w:r w:rsidR="006B424F">
        <w:t>can</w:t>
      </w:r>
      <w:r w:rsidR="00E408D3">
        <w:t xml:space="preserve"> </w:t>
      </w:r>
      <w:r w:rsidR="006E55B6">
        <w:t>extend to phenotypic antimicrobial susceptibilities</w:t>
      </w:r>
      <w:r w:rsidR="00161887">
        <w:rPr>
          <w:rFonts w:cstheme="minorHAnsi"/>
          <w:szCs w:val="22"/>
        </w:rPr>
        <w:t xml:space="preserve"> </w:t>
      </w:r>
      <w:r w:rsidR="00376F0F">
        <w:rPr>
          <w:rFonts w:cstheme="minorHAnsi"/>
          <w:noProof/>
          <w:szCs w:val="22"/>
        </w:rPr>
        <w:t>[</w:t>
      </w:r>
      <w:r w:rsidR="00311B84">
        <w:rPr>
          <w:rFonts w:cstheme="minorHAnsi"/>
          <w:noProof/>
          <w:szCs w:val="22"/>
        </w:rPr>
        <w:t>5</w:t>
      </w:r>
      <w:r w:rsidR="00376F0F">
        <w:rPr>
          <w:rFonts w:cstheme="minorHAnsi"/>
          <w:noProof/>
          <w:szCs w:val="22"/>
        </w:rPr>
        <w:t>]</w:t>
      </w:r>
      <w:r w:rsidR="006E55B6">
        <w:t xml:space="preserve">. </w:t>
      </w:r>
      <w:r w:rsidR="00896DA2">
        <w:t xml:space="preserve">As </w:t>
      </w:r>
      <w:r w:rsidR="008531EE">
        <w:t>s</w:t>
      </w:r>
      <w:r>
        <w:t xml:space="preserve">taphylococci </w:t>
      </w:r>
      <w:r w:rsidR="00D75256">
        <w:t>can</w:t>
      </w:r>
      <w:r>
        <w:t xml:space="preserve"> acquire and exchange genetic </w:t>
      </w:r>
      <w:r w:rsidR="006E55B6">
        <w:t>material</w:t>
      </w:r>
      <w:r w:rsidR="00161887">
        <w:rPr>
          <w:rFonts w:cstheme="minorHAnsi"/>
          <w:szCs w:val="22"/>
        </w:rPr>
        <w:t xml:space="preserve"> </w:t>
      </w:r>
      <w:r w:rsidR="00376F0F">
        <w:rPr>
          <w:rFonts w:cstheme="minorHAnsi"/>
          <w:noProof/>
          <w:szCs w:val="22"/>
        </w:rPr>
        <w:t>[</w:t>
      </w:r>
      <w:r w:rsidR="00311B84">
        <w:rPr>
          <w:rFonts w:cstheme="minorHAnsi"/>
          <w:noProof/>
          <w:szCs w:val="22"/>
        </w:rPr>
        <w:t>6, 7</w:t>
      </w:r>
      <w:r w:rsidR="00376F0F">
        <w:rPr>
          <w:rFonts w:cstheme="minorHAnsi"/>
          <w:noProof/>
          <w:szCs w:val="22"/>
        </w:rPr>
        <w:t>]</w:t>
      </w:r>
      <w:r w:rsidR="00D1741E">
        <w:rPr>
          <w:rFonts w:cstheme="minorHAnsi"/>
          <w:szCs w:val="22"/>
        </w:rPr>
        <w:t xml:space="preserve"> </w:t>
      </w:r>
      <w:r w:rsidR="006E55B6">
        <w:t xml:space="preserve">and are </w:t>
      </w:r>
      <w:r w:rsidR="005857E0">
        <w:t xml:space="preserve">physically </w:t>
      </w:r>
      <w:r w:rsidR="006E55B6">
        <w:t>predisposed to cross-species interaction (i.e., environmental, faecal), the authors hypothesise th</w:t>
      </w:r>
      <w:r w:rsidR="00896DA2">
        <w:t>at</w:t>
      </w:r>
      <w:r w:rsidR="006E55B6">
        <w:t xml:space="preserve"> </w:t>
      </w:r>
      <w:r w:rsidR="00896DA2">
        <w:t>staphylo</w:t>
      </w:r>
      <w:r w:rsidR="008531EE">
        <w:t>cocci</w:t>
      </w:r>
      <w:r w:rsidR="00896DA2">
        <w:t xml:space="preserve"> involved in </w:t>
      </w:r>
      <w:r w:rsidR="00465027">
        <w:t>EE</w:t>
      </w:r>
      <w:r w:rsidR="006E55B6">
        <w:t xml:space="preserve"> outbreaks </w:t>
      </w:r>
      <w:r w:rsidR="00BF05D8">
        <w:t>may</w:t>
      </w:r>
      <w:r w:rsidR="006E55B6">
        <w:t xml:space="preserve"> </w:t>
      </w:r>
      <w:r w:rsidR="002D7C38">
        <w:t>exhibit</w:t>
      </w:r>
      <w:r w:rsidR="006E55B6">
        <w:t xml:space="preserve"> </w:t>
      </w:r>
      <w:r w:rsidR="00D41EE4">
        <w:t>within-host heterogeneity</w:t>
      </w:r>
      <w:r w:rsidR="006B424F">
        <w:t>, making them more difficult to manage than presently anticipated</w:t>
      </w:r>
      <w:r w:rsidR="006E55B6">
        <w:t>.</w:t>
      </w:r>
      <w:r w:rsidR="00896DA2">
        <w:t xml:space="preserve"> </w:t>
      </w:r>
      <w:r w:rsidR="004B74A2">
        <w:t xml:space="preserve">The present study explored this hypothesis </w:t>
      </w:r>
      <w:r w:rsidR="009B62A4">
        <w:t>using</w:t>
      </w:r>
      <w:r w:rsidR="00896DA2">
        <w:t xml:space="preserve"> a </w:t>
      </w:r>
      <w:r w:rsidR="00894FB1">
        <w:t>robotics-enabled</w:t>
      </w:r>
      <w:r w:rsidR="004B74A2">
        <w:t xml:space="preserve"> </w:t>
      </w:r>
      <w:r w:rsidR="00896DA2">
        <w:t>multisampling approach</w:t>
      </w:r>
      <w:r w:rsidR="004B74A2">
        <w:t xml:space="preserve">, tasked with thoroughly evaluating the microbial ecology of </w:t>
      </w:r>
      <w:r w:rsidR="00465027">
        <w:t>EE</w:t>
      </w:r>
      <w:r w:rsidR="004B74A2">
        <w:t xml:space="preserve"> lesions within an individual herd</w:t>
      </w:r>
      <w:r w:rsidR="00C50189">
        <w:t xml:space="preserve"> during a suspected ongoing outbreak</w:t>
      </w:r>
      <w:r w:rsidR="004B74A2">
        <w:t xml:space="preserve">. </w:t>
      </w:r>
      <w:r w:rsidR="009B5050">
        <w:t>Through i</w:t>
      </w:r>
      <w:r w:rsidR="004B74A2">
        <w:t>n</w:t>
      </w:r>
      <w:r w:rsidR="009B5050">
        <w:t>corporating</w:t>
      </w:r>
      <w:r w:rsidR="004B74A2">
        <w:t xml:space="preserve"> robotics</w:t>
      </w:r>
      <w:r w:rsidR="009B5050">
        <w:t>,</w:t>
      </w:r>
      <w:r w:rsidR="004B74A2">
        <w:t xml:space="preserve"> </w:t>
      </w:r>
      <w:r w:rsidR="009B5050">
        <w:t xml:space="preserve">we </w:t>
      </w:r>
      <w:r w:rsidR="00C77821">
        <w:t>achieved a substantial increase in</w:t>
      </w:r>
      <w:r w:rsidR="004B74A2">
        <w:t xml:space="preserve"> the number of pigs and isolates assessed beyond standard clinical practice</w:t>
      </w:r>
      <w:r w:rsidR="0009536F">
        <w:t xml:space="preserve"> to deliver accurate herd-level disease classification and,</w:t>
      </w:r>
      <w:r w:rsidR="0048401E">
        <w:t xml:space="preserve"> </w:t>
      </w:r>
      <w:r w:rsidR="0048401E">
        <w:lastRenderedPageBreak/>
        <w:t>thus</w:t>
      </w:r>
      <w:r w:rsidR="005A1294">
        <w:t>,</w:t>
      </w:r>
      <w:r w:rsidR="0048401E">
        <w:t xml:space="preserve"> a</w:t>
      </w:r>
      <w:r w:rsidR="004B74A2">
        <w:t xml:space="preserve"> robust basis for vaccine selection</w:t>
      </w:r>
      <w:r w:rsidR="007549A5">
        <w:t>.</w:t>
      </w:r>
      <w:r w:rsidR="00170F1E">
        <w:t xml:space="preserve"> </w:t>
      </w:r>
      <w:r w:rsidR="007549A5">
        <w:t xml:space="preserve">This high-resolution evaluation of the ecology of pathogens at the herd level is invaluable for </w:t>
      </w:r>
      <w:r w:rsidR="00CC0244">
        <w:t>guiding</w:t>
      </w:r>
      <w:r w:rsidR="004B74A2">
        <w:t xml:space="preserve"> antimicrobial stewardship </w:t>
      </w:r>
      <w:r w:rsidR="00CC0244">
        <w:t xml:space="preserve">and </w:t>
      </w:r>
      <w:r w:rsidR="004B74A2">
        <w:t>future industry-wide surveillance of porcine bacterial pathogens.</w:t>
      </w:r>
      <w:r w:rsidR="00577E7C">
        <w:br w:type="page"/>
      </w:r>
    </w:p>
    <w:p w14:paraId="7540703C" w14:textId="77777777" w:rsidR="00577E7C" w:rsidRDefault="00577E7C" w:rsidP="00644473">
      <w:pPr>
        <w:spacing w:line="480" w:lineRule="auto"/>
      </w:pPr>
      <w:r>
        <w:lastRenderedPageBreak/>
        <w:t>METHODS</w:t>
      </w:r>
    </w:p>
    <w:p w14:paraId="3F32EE66" w14:textId="4C65DCFD" w:rsidR="004733BB" w:rsidRDefault="00411A77" w:rsidP="004733BB">
      <w:pPr>
        <w:spacing w:line="480" w:lineRule="auto"/>
        <w:jc w:val="both"/>
      </w:pPr>
      <w:r>
        <w:t>Epidermal lesion swab samples from 20 individual weaner pigs were collected by a veterinarian at a</w:t>
      </w:r>
      <w:r w:rsidR="00314ACA">
        <w:t xml:space="preserve"> single</w:t>
      </w:r>
      <w:r>
        <w:t xml:space="preserve"> Australian piggery </w:t>
      </w:r>
      <w:r w:rsidR="002D7C38">
        <w:t>experiencing</w:t>
      </w:r>
      <w:r>
        <w:t xml:space="preserve"> an outbreak of </w:t>
      </w:r>
      <w:r w:rsidR="002D7C38">
        <w:t>E</w:t>
      </w:r>
      <w:r w:rsidR="00481489">
        <w:t>E</w:t>
      </w:r>
      <w:r w:rsidR="004733BB" w:rsidRPr="004733BB">
        <w:t xml:space="preserve">. </w:t>
      </w:r>
      <w:r w:rsidR="00FF6C00">
        <w:t xml:space="preserve">Pigs were from different litters and were selected based on the presence of active skin lesions. </w:t>
      </w:r>
      <w:r w:rsidR="004733BB" w:rsidRPr="004733BB">
        <w:t xml:space="preserve">Each swab was immersed in </w:t>
      </w:r>
      <w:r w:rsidR="000D22BD">
        <w:t>1 mL</w:t>
      </w:r>
      <w:r w:rsidR="004733BB" w:rsidRPr="004733BB">
        <w:t xml:space="preserve"> PBS and subsequently diluted. </w:t>
      </w:r>
      <w:r w:rsidR="002271DA">
        <w:t>Several diluted</w:t>
      </w:r>
      <w:r w:rsidR="004733BB" w:rsidRPr="004733BB">
        <w:t xml:space="preserve"> </w:t>
      </w:r>
      <w:proofErr w:type="spellStart"/>
      <w:r w:rsidR="00886528">
        <w:t>inocula</w:t>
      </w:r>
      <w:proofErr w:type="spellEnd"/>
      <w:r w:rsidR="004733BB" w:rsidRPr="004733BB">
        <w:t xml:space="preserve"> were plated on Columbia Sheep Blood Agar (MM1100, Edwards) </w:t>
      </w:r>
      <w:r w:rsidR="002271DA">
        <w:t xml:space="preserve">to obtain single colonies </w:t>
      </w:r>
      <w:r w:rsidR="004733BB" w:rsidRPr="004733BB">
        <w:t>using the Robotic Antimicrobial Susceptibility Platform (RASP) on</w:t>
      </w:r>
      <w:r>
        <w:t xml:space="preserve"> the</w:t>
      </w:r>
      <w:r w:rsidR="004733BB" w:rsidRPr="004733BB">
        <w:t xml:space="preserve"> Tecan EVO 150 (Tecan</w:t>
      </w:r>
      <w:r w:rsidR="004244B0">
        <w:t xml:space="preserve"> </w:t>
      </w:r>
      <w:r w:rsidR="004733BB" w:rsidRPr="004733BB">
        <w:t xml:space="preserve">and </w:t>
      </w:r>
      <w:proofErr w:type="spellStart"/>
      <w:r w:rsidR="004733BB" w:rsidRPr="004733BB">
        <w:t>Scirobotics</w:t>
      </w:r>
      <w:proofErr w:type="spellEnd"/>
      <w:r w:rsidR="004733BB" w:rsidRPr="004733BB">
        <w:t>)</w:t>
      </w:r>
      <w:r w:rsidR="000D22BD">
        <w:t>,</w:t>
      </w:r>
      <w:r>
        <w:t xml:space="preserve"> utilising the</w:t>
      </w:r>
      <w:r w:rsidR="004733BB" w:rsidRPr="004733BB">
        <w:t xml:space="preserve"> two-ring dilution </w:t>
      </w:r>
      <w:r w:rsidR="002271DA" w:rsidRPr="004733BB">
        <w:t xml:space="preserve">protocol as </w:t>
      </w:r>
      <w:r w:rsidR="002271DA">
        <w:t xml:space="preserve">previously described </w:t>
      </w:r>
      <w:r w:rsidR="00376F0F">
        <w:rPr>
          <w:noProof/>
        </w:rPr>
        <w:t>[</w:t>
      </w:r>
      <w:r w:rsidR="00311B84">
        <w:rPr>
          <w:noProof/>
        </w:rPr>
        <w:t>8</w:t>
      </w:r>
      <w:r w:rsidR="00376F0F">
        <w:rPr>
          <w:noProof/>
        </w:rPr>
        <w:t>]</w:t>
      </w:r>
      <w:r w:rsidR="002271DA">
        <w:t>.</w:t>
      </w:r>
    </w:p>
    <w:p w14:paraId="1FF09CF1" w14:textId="53D05238" w:rsidR="004733BB" w:rsidRDefault="004733BB" w:rsidP="004733BB">
      <w:pPr>
        <w:spacing w:line="480" w:lineRule="auto"/>
        <w:jc w:val="both"/>
      </w:pPr>
      <w:r>
        <w:t>After overnight incubation at 37</w:t>
      </w:r>
      <w:r>
        <w:rPr>
          <w:rFonts w:cstheme="minorHAnsi"/>
        </w:rPr>
        <w:t>°</w:t>
      </w:r>
      <w:r>
        <w:t xml:space="preserve">C, eight resultant bacterial colonies per agar plate were </w:t>
      </w:r>
      <w:proofErr w:type="spellStart"/>
      <w:r>
        <w:t>subcultured</w:t>
      </w:r>
      <w:proofErr w:type="spellEnd"/>
      <w:r>
        <w:t xml:space="preserve"> in Brain Heart Infusion broth</w:t>
      </w:r>
      <w:r w:rsidR="00326B14">
        <w:t xml:space="preserve"> (Oxoid)</w:t>
      </w:r>
      <w:r>
        <w:t xml:space="preserve"> using the RASP-integrated </w:t>
      </w:r>
      <w:proofErr w:type="spellStart"/>
      <w:r>
        <w:t>Pickolo</w:t>
      </w:r>
      <w:proofErr w:type="spellEnd"/>
      <w:r>
        <w:t xml:space="preserve"> colony picking software</w:t>
      </w:r>
      <w:r w:rsidR="00160A47">
        <w:t xml:space="preserve"> (</w:t>
      </w:r>
      <w:proofErr w:type="spellStart"/>
      <w:r w:rsidR="00160A47">
        <w:t>Scirobotics</w:t>
      </w:r>
      <w:proofErr w:type="spellEnd"/>
      <w:r w:rsidR="00160A47">
        <w:t>)</w:t>
      </w:r>
      <w:r>
        <w:t>. MALDI-TOF (Bruker) was used to determine the species of each isolate</w:t>
      </w:r>
      <w:r w:rsidR="00314ACA">
        <w:t>.</w:t>
      </w:r>
    </w:p>
    <w:p w14:paraId="26D816C3" w14:textId="4F506B33" w:rsidR="004733BB" w:rsidRDefault="004733BB" w:rsidP="004733BB">
      <w:pPr>
        <w:spacing w:line="480" w:lineRule="auto"/>
        <w:jc w:val="both"/>
      </w:pPr>
      <w:r>
        <w:t>The following day, broth microdilution antimicrobial susceptibility testing was performed on all isolates (n = 160 from 20 swabs),</w:t>
      </w:r>
      <w:r w:rsidRPr="00F1749C">
        <w:t xml:space="preserve"> </w:t>
      </w:r>
      <w:r>
        <w:t>as per the RASP method</w:t>
      </w:r>
      <w:r w:rsidR="009E7134">
        <w:t xml:space="preserve"> </w:t>
      </w:r>
      <w:r w:rsidR="00376F0F">
        <w:rPr>
          <w:noProof/>
        </w:rPr>
        <w:t>[</w:t>
      </w:r>
      <w:r w:rsidR="00311B84">
        <w:rPr>
          <w:noProof/>
        </w:rPr>
        <w:t>8</w:t>
      </w:r>
      <w:r w:rsidR="00376F0F">
        <w:rPr>
          <w:noProof/>
        </w:rPr>
        <w:t>]</w:t>
      </w:r>
      <w:r>
        <w:t>, using the following antimicrobials (antimicrobial class indicated in brackets): apramycin (aminoglycoside), cefoxitin (cephems), ciprofloxacin (fluoroquinolone), erythromycin (macrolide), florfenicol (amphenicol), gentamicin (aminoglycoside), lincomycin (</w:t>
      </w:r>
      <w:proofErr w:type="spellStart"/>
      <w:r>
        <w:t>lincosamide</w:t>
      </w:r>
      <w:proofErr w:type="spellEnd"/>
      <w:r>
        <w:t>), oxacillin (beta-lactam), penicillin G (penicillins), rifampicin (</w:t>
      </w:r>
      <w:proofErr w:type="spellStart"/>
      <w:r>
        <w:t>ansamycin</w:t>
      </w:r>
      <w:proofErr w:type="spellEnd"/>
      <w:r>
        <w:t>), tetracycline (tetracycline)</w:t>
      </w:r>
      <w:r w:rsidR="00AF5F93">
        <w:t>,</w:t>
      </w:r>
      <w:r>
        <w:t xml:space="preserve"> and trimethoprim-sulfamethoxazole (folate pathway inhibitor). Non-susceptibility was assessed using CLSI clinical breakpoints</w:t>
      </w:r>
      <w:r w:rsidR="009E7134">
        <w:t xml:space="preserve"> </w:t>
      </w:r>
      <w:r w:rsidR="00376F0F">
        <w:rPr>
          <w:noProof/>
        </w:rPr>
        <w:t>[</w:t>
      </w:r>
      <w:r w:rsidR="00311B84">
        <w:rPr>
          <w:noProof/>
        </w:rPr>
        <w:t>9</w:t>
      </w:r>
      <w:r w:rsidR="00376F0F">
        <w:rPr>
          <w:noProof/>
        </w:rPr>
        <w:t>]</w:t>
      </w:r>
      <w:r>
        <w:t>, or EUCAST ECOFF values (</w:t>
      </w:r>
      <w:hyperlink r:id="rId11" w:history="1">
        <w:r w:rsidRPr="006E3765">
          <w:rPr>
            <w:rStyle w:val="Hyperlink"/>
          </w:rPr>
          <w:t>https://mic.eucast.org/</w:t>
        </w:r>
      </w:hyperlink>
      <w:r>
        <w:t>) where clinical breakpoints were unavailable.</w:t>
      </w:r>
    </w:p>
    <w:p w14:paraId="6C0B3FBF" w14:textId="6F466248" w:rsidR="002271DA" w:rsidRPr="002271DA" w:rsidRDefault="002271DA" w:rsidP="004733BB">
      <w:pPr>
        <w:spacing w:line="480" w:lineRule="auto"/>
        <w:jc w:val="both"/>
        <w:rPr>
          <w:i/>
          <w:iCs/>
        </w:rPr>
      </w:pPr>
      <w:r>
        <w:rPr>
          <w:i/>
          <w:iCs/>
        </w:rPr>
        <w:t>Whole genome sequencing</w:t>
      </w:r>
    </w:p>
    <w:p w14:paraId="3A23C888" w14:textId="75050098" w:rsidR="001D3290" w:rsidRDefault="004733BB" w:rsidP="007C1ED9">
      <w:pPr>
        <w:spacing w:line="480" w:lineRule="auto"/>
        <w:jc w:val="both"/>
      </w:pPr>
      <w:r>
        <w:t xml:space="preserve">A subset of 27 </w:t>
      </w:r>
      <w:r>
        <w:rPr>
          <w:i/>
          <w:iCs/>
        </w:rPr>
        <w:t>S</w:t>
      </w:r>
      <w:r w:rsidR="003321CB">
        <w:rPr>
          <w:i/>
          <w:iCs/>
        </w:rPr>
        <w:t>.</w:t>
      </w:r>
      <w:r>
        <w:rPr>
          <w:i/>
          <w:iCs/>
        </w:rPr>
        <w:t xml:space="preserve"> </w:t>
      </w:r>
      <w:proofErr w:type="spellStart"/>
      <w:r>
        <w:rPr>
          <w:i/>
          <w:iCs/>
        </w:rPr>
        <w:t>hyicus</w:t>
      </w:r>
      <w:proofErr w:type="spellEnd"/>
      <w:r>
        <w:rPr>
          <w:i/>
          <w:iCs/>
        </w:rPr>
        <w:t xml:space="preserve"> </w:t>
      </w:r>
      <w:r>
        <w:t xml:space="preserve">isolates from 19 </w:t>
      </w:r>
      <w:r w:rsidR="003321CB">
        <w:t xml:space="preserve">of the </w:t>
      </w:r>
      <w:r>
        <w:t>pigs</w:t>
      </w:r>
      <w:r w:rsidR="000C192B">
        <w:t xml:space="preserve"> were subjected to </w:t>
      </w:r>
      <w:r>
        <w:t>whole genome sequencing</w:t>
      </w:r>
      <w:r w:rsidR="000C192B">
        <w:t xml:space="preserve"> (WGS)</w:t>
      </w:r>
      <w:r>
        <w:t xml:space="preserve">. Isolates were chosen to ensure the inclusion of each unique phenotypic antimicrobial resistance profile. </w:t>
      </w:r>
      <w:r w:rsidR="000C192B">
        <w:t xml:space="preserve">The </w:t>
      </w:r>
      <w:r>
        <w:t xml:space="preserve">MagMAX-96 DNA Multi-Sample Kit (Applied Bio Systems, </w:t>
      </w:r>
      <w:proofErr w:type="spellStart"/>
      <w:r>
        <w:t>Thermo</w:t>
      </w:r>
      <w:proofErr w:type="spellEnd"/>
      <w:r>
        <w:t xml:space="preserve"> Fisher Scientific) was used for DNA extraction on the </w:t>
      </w:r>
      <w:proofErr w:type="spellStart"/>
      <w:r>
        <w:t>MagMAX</w:t>
      </w:r>
      <w:proofErr w:type="spellEnd"/>
      <w:r>
        <w:t xml:space="preserve"> 96-well automated extraction platform (Life </w:t>
      </w:r>
      <w:r>
        <w:lastRenderedPageBreak/>
        <w:t>Technologies) according to manufacturer</w:t>
      </w:r>
      <w:r w:rsidR="000C192B">
        <w:t>’s</w:t>
      </w:r>
      <w:r>
        <w:t xml:space="preserve"> instructions. </w:t>
      </w:r>
      <w:r w:rsidR="000C192B">
        <w:t xml:space="preserve">WGS </w:t>
      </w:r>
      <w:r>
        <w:t xml:space="preserve">was performed using the </w:t>
      </w:r>
      <w:proofErr w:type="spellStart"/>
      <w:r>
        <w:t>NextSeq</w:t>
      </w:r>
      <w:proofErr w:type="spellEnd"/>
      <w:r>
        <w:rPr>
          <w:vertAlign w:val="superscript"/>
        </w:rPr>
        <w:t xml:space="preserve"> </w:t>
      </w:r>
      <w:r>
        <w:t>500/550 Mid Output 2x150 Reagent Cartridge v2 (Illumina)</w:t>
      </w:r>
      <w:r w:rsidR="00800C15">
        <w:t xml:space="preserve"> to obtain </w:t>
      </w:r>
      <w:proofErr w:type="gramStart"/>
      <w:r w:rsidR="00800C15">
        <w:t>paired-end</w:t>
      </w:r>
      <w:proofErr w:type="gramEnd"/>
      <w:r w:rsidR="00800C15">
        <w:t xml:space="preserve"> 2x150 reads</w:t>
      </w:r>
      <w:r>
        <w:t xml:space="preserve">. Sequence data was </w:t>
      </w:r>
      <w:r w:rsidRPr="0048224C">
        <w:rPr>
          <w:i/>
          <w:iCs/>
        </w:rPr>
        <w:t xml:space="preserve">de novo </w:t>
      </w:r>
      <w:r>
        <w:t xml:space="preserve">assembled using </w:t>
      </w:r>
      <w:proofErr w:type="spellStart"/>
      <w:r>
        <w:t>SPAdes</w:t>
      </w:r>
      <w:proofErr w:type="spellEnd"/>
      <w:r>
        <w:t xml:space="preserve"> (v3.14.1). </w:t>
      </w:r>
      <w:r w:rsidRPr="00C03514">
        <w:t xml:space="preserve">AMR genes were identified </w:t>
      </w:r>
      <w:r>
        <w:t xml:space="preserve">using </w:t>
      </w:r>
      <w:proofErr w:type="spellStart"/>
      <w:r w:rsidRPr="00C03514">
        <w:t>ABRicate</w:t>
      </w:r>
      <w:proofErr w:type="spellEnd"/>
      <w:r w:rsidRPr="00C03514">
        <w:t xml:space="preserve"> (v1.0.1) (https://github.com/tseemann/abricate) </w:t>
      </w:r>
      <w:r>
        <w:t>via</w:t>
      </w:r>
      <w:r w:rsidRPr="00C03514">
        <w:t xml:space="preserve"> the publicly available </w:t>
      </w:r>
      <w:proofErr w:type="spellStart"/>
      <w:r w:rsidRPr="00C03514">
        <w:t>ResFinder</w:t>
      </w:r>
      <w:proofErr w:type="spellEnd"/>
      <w:r w:rsidRPr="00C03514">
        <w:t xml:space="preserve"> database</w:t>
      </w:r>
      <w:r>
        <w:t xml:space="preserve"> (accessed November 2022)</w:t>
      </w:r>
      <w:r w:rsidRPr="00C03514">
        <w:t>, with identified AMR genes considered present if they were at greater than 95% coverage and identity</w:t>
      </w:r>
      <w:r>
        <w:t xml:space="preserve">. </w:t>
      </w:r>
      <w:r w:rsidRPr="00C6381A">
        <w:t xml:space="preserve">Virulence factors were screened for using </w:t>
      </w:r>
      <w:proofErr w:type="spellStart"/>
      <w:r w:rsidRPr="00C6381A">
        <w:t>A</w:t>
      </w:r>
      <w:r w:rsidR="009E66A0">
        <w:t>BR</w:t>
      </w:r>
      <w:r w:rsidRPr="00C6381A">
        <w:t>icate</w:t>
      </w:r>
      <w:proofErr w:type="spellEnd"/>
      <w:r w:rsidRPr="00C6381A">
        <w:t xml:space="preserve"> with a custom database consisting of the following genes: </w:t>
      </w:r>
      <w:proofErr w:type="spellStart"/>
      <w:r w:rsidRPr="00C10ADD">
        <w:rPr>
          <w:i/>
          <w:iCs/>
        </w:rPr>
        <w:t>exh</w:t>
      </w:r>
      <w:r w:rsidRPr="00B86FB9">
        <w:rPr>
          <w:i/>
          <w:iCs/>
        </w:rPr>
        <w:t>A</w:t>
      </w:r>
      <w:proofErr w:type="spellEnd"/>
      <w:r>
        <w:t xml:space="preserve">, </w:t>
      </w:r>
      <w:proofErr w:type="spellStart"/>
      <w:r w:rsidRPr="00C10ADD">
        <w:rPr>
          <w:i/>
          <w:iCs/>
        </w:rPr>
        <w:t>exh</w:t>
      </w:r>
      <w:r w:rsidRPr="00B86FB9">
        <w:rPr>
          <w:i/>
          <w:iCs/>
        </w:rPr>
        <w:t>B</w:t>
      </w:r>
      <w:proofErr w:type="spellEnd"/>
      <w:r>
        <w:t xml:space="preserve">, </w:t>
      </w:r>
      <w:proofErr w:type="spellStart"/>
      <w:r w:rsidRPr="00C10ADD">
        <w:rPr>
          <w:i/>
          <w:iCs/>
        </w:rPr>
        <w:t>exh</w:t>
      </w:r>
      <w:r w:rsidRPr="00B86FB9">
        <w:rPr>
          <w:i/>
          <w:iCs/>
        </w:rPr>
        <w:t>C</w:t>
      </w:r>
      <w:proofErr w:type="spellEnd"/>
      <w:r>
        <w:t xml:space="preserve">, </w:t>
      </w:r>
      <w:proofErr w:type="spellStart"/>
      <w:r w:rsidRPr="00C10ADD">
        <w:rPr>
          <w:i/>
          <w:iCs/>
        </w:rPr>
        <w:t>exh</w:t>
      </w:r>
      <w:r w:rsidRPr="00B86FB9">
        <w:rPr>
          <w:i/>
          <w:iCs/>
        </w:rPr>
        <w:t>D</w:t>
      </w:r>
      <w:proofErr w:type="spellEnd"/>
      <w:r w:rsidR="003D71BA">
        <w:rPr>
          <w:i/>
          <w:iCs/>
        </w:rPr>
        <w:t xml:space="preserve">, </w:t>
      </w:r>
      <w:proofErr w:type="spellStart"/>
      <w:r w:rsidR="003D71BA" w:rsidRPr="003D71BA">
        <w:rPr>
          <w:i/>
          <w:iCs/>
        </w:rPr>
        <w:t>sheta</w:t>
      </w:r>
      <w:proofErr w:type="spellEnd"/>
      <w:r>
        <w:t xml:space="preserve"> and </w:t>
      </w:r>
      <w:proofErr w:type="spellStart"/>
      <w:r w:rsidRPr="00C10ADD">
        <w:rPr>
          <w:i/>
          <w:iCs/>
        </w:rPr>
        <w:t>shet</w:t>
      </w:r>
      <w:r w:rsidRPr="00B86FB9">
        <w:rPr>
          <w:i/>
          <w:iCs/>
        </w:rPr>
        <w:t>b</w:t>
      </w:r>
      <w:proofErr w:type="spellEnd"/>
      <w:r w:rsidRPr="00C6381A">
        <w:t xml:space="preserve"> (GenBank accession numbers AF515453</w:t>
      </w:r>
      <w:r>
        <w:t xml:space="preserve">, AF515454, AF515455, AF515456, </w:t>
      </w:r>
      <w:r w:rsidR="00026698">
        <w:t xml:space="preserve">AB036768 </w:t>
      </w:r>
      <w:r>
        <w:t>and AB036767 respectively)</w:t>
      </w:r>
      <w:r w:rsidR="009E7134" w:rsidRPr="009E7134">
        <w:t xml:space="preserve"> </w:t>
      </w:r>
      <w:r w:rsidR="00376F0F">
        <w:rPr>
          <w:noProof/>
        </w:rPr>
        <w:t>[</w:t>
      </w:r>
      <w:r w:rsidR="00311B84">
        <w:rPr>
          <w:noProof/>
        </w:rPr>
        <w:t>10</w:t>
      </w:r>
      <w:r w:rsidR="00376F0F">
        <w:rPr>
          <w:noProof/>
        </w:rPr>
        <w:t>]</w:t>
      </w:r>
      <w:r>
        <w:t xml:space="preserve">. </w:t>
      </w:r>
    </w:p>
    <w:p w14:paraId="2A12E2F2" w14:textId="391319EF" w:rsidR="001D3290" w:rsidRPr="001D3290" w:rsidRDefault="001D3290" w:rsidP="007C1ED9">
      <w:pPr>
        <w:spacing w:line="480" w:lineRule="auto"/>
        <w:jc w:val="both"/>
        <w:rPr>
          <w:i/>
          <w:iCs/>
        </w:rPr>
      </w:pPr>
      <w:r>
        <w:rPr>
          <w:i/>
          <w:iCs/>
        </w:rPr>
        <w:t>Phylogenetic analysis</w:t>
      </w:r>
    </w:p>
    <w:p w14:paraId="5316E94C" w14:textId="54C85AB5" w:rsidR="00D27612" w:rsidRDefault="000F7E39" w:rsidP="004733BB">
      <w:pPr>
        <w:spacing w:line="480" w:lineRule="auto"/>
        <w:jc w:val="both"/>
      </w:pPr>
      <w:r w:rsidRPr="000F7E39">
        <w:t xml:space="preserve">Isolates from the present study were phylogenetically compared with all publicly available </w:t>
      </w:r>
      <w:r w:rsidRPr="000F7E39">
        <w:rPr>
          <w:i/>
          <w:iCs/>
        </w:rPr>
        <w:t xml:space="preserve">S. </w:t>
      </w:r>
      <w:proofErr w:type="spellStart"/>
      <w:r w:rsidRPr="000F7E39">
        <w:rPr>
          <w:i/>
          <w:iCs/>
        </w:rPr>
        <w:t>hyicus</w:t>
      </w:r>
      <w:proofErr w:type="spellEnd"/>
      <w:r w:rsidRPr="000F7E39">
        <w:t xml:space="preserve"> genome sequences on NCBI (https://www.ncbi.nlm.nih.gov/datasets/genome/), accessed August 2024 (Table S1).</w:t>
      </w:r>
      <w:r>
        <w:t xml:space="preserve"> </w:t>
      </w:r>
      <w:r w:rsidR="007C1ED9" w:rsidRPr="00471D06">
        <w:t>Core</w:t>
      </w:r>
      <w:r w:rsidR="007C1ED9" w:rsidRPr="007C1ED9">
        <w:t xml:space="preserve"> </w:t>
      </w:r>
      <w:r w:rsidR="009A13F3">
        <w:t>single-nucleotide polymorphisms (SNPS</w:t>
      </w:r>
      <w:r w:rsidR="007C1ED9" w:rsidRPr="007C1ED9">
        <w:t xml:space="preserve">) were identified using Snippy v4.1.0, with all isolate genomes aligned to the </w:t>
      </w:r>
      <w:r w:rsidR="00FD2EE0" w:rsidRPr="00FD2EE0">
        <w:rPr>
          <w:i/>
          <w:iCs/>
        </w:rPr>
        <w:t>S</w:t>
      </w:r>
      <w:r w:rsidR="00FD2EE0">
        <w:rPr>
          <w:i/>
          <w:iCs/>
        </w:rPr>
        <w:t>.</w:t>
      </w:r>
      <w:r w:rsidR="00FD2EE0" w:rsidRPr="00FD2EE0">
        <w:rPr>
          <w:i/>
          <w:iCs/>
        </w:rPr>
        <w:t xml:space="preserve"> </w:t>
      </w:r>
      <w:proofErr w:type="spellStart"/>
      <w:r w:rsidR="00FD2EE0" w:rsidRPr="00FD2EE0">
        <w:rPr>
          <w:i/>
          <w:iCs/>
        </w:rPr>
        <w:t>hyicus</w:t>
      </w:r>
      <w:proofErr w:type="spellEnd"/>
      <w:r w:rsidR="00FD2EE0" w:rsidRPr="007C1ED9">
        <w:t xml:space="preserve"> </w:t>
      </w:r>
      <w:r w:rsidR="00FD2EE0">
        <w:t xml:space="preserve">ATCC </w:t>
      </w:r>
      <w:r w:rsidR="008661DD">
        <w:t xml:space="preserve">11249 </w:t>
      </w:r>
      <w:r w:rsidR="007C1ED9" w:rsidRPr="007C1ED9">
        <w:t xml:space="preserve">reference genome (accession: GCA_000816085.1) under default parameters. Core SNP alignments were generated using Snippy-core and used to infer a maximum likelihood phylogeny. Recombination was removed using </w:t>
      </w:r>
      <w:proofErr w:type="spellStart"/>
      <w:r w:rsidR="007C1ED9" w:rsidRPr="007C1ED9">
        <w:t>ClonalFrameML</w:t>
      </w:r>
      <w:proofErr w:type="spellEnd"/>
      <w:r w:rsidR="007C1ED9" w:rsidRPr="007C1ED9">
        <w:t xml:space="preserve"> v1.11. The final tree was constructed with </w:t>
      </w:r>
      <w:proofErr w:type="spellStart"/>
      <w:r w:rsidR="007C1ED9" w:rsidRPr="007C1ED9">
        <w:t>RAxML</w:t>
      </w:r>
      <w:proofErr w:type="spellEnd"/>
      <w:r w:rsidR="007C1ED9" w:rsidRPr="007C1ED9">
        <w:t xml:space="preserve"> v8.2.11 using the GTR+CAT model and 1,000 rapid bootstrap replicates. The tree was midpoint-rooted and visualised in </w:t>
      </w:r>
      <w:proofErr w:type="spellStart"/>
      <w:r w:rsidR="007C1ED9" w:rsidRPr="007C1ED9">
        <w:t>iTOL</w:t>
      </w:r>
      <w:proofErr w:type="spellEnd"/>
      <w:r w:rsidR="007C1ED9" w:rsidRPr="007C1ED9">
        <w:t xml:space="preserve"> v6.5.8. Branch lengths </w:t>
      </w:r>
      <w:r w:rsidR="00E64D14">
        <w:t>we</w:t>
      </w:r>
      <w:r w:rsidR="007C1ED9" w:rsidRPr="007C1ED9">
        <w:t xml:space="preserve">re expressed </w:t>
      </w:r>
      <w:r w:rsidR="00E64D14">
        <w:t>as</w:t>
      </w:r>
      <w:r w:rsidR="007C1ED9" w:rsidRPr="007C1ED9">
        <w:t xml:space="preserve"> substitutions per site.</w:t>
      </w:r>
      <w:r w:rsidR="00625EE9">
        <w:t xml:space="preserve"> </w:t>
      </w:r>
      <w:r w:rsidR="000E7334" w:rsidRPr="000E7334">
        <w:t>Pairwise SNP distances between isolates were calculated from the core genome alignment using SNP-</w:t>
      </w:r>
      <w:proofErr w:type="spellStart"/>
      <w:r w:rsidR="000E7334" w:rsidRPr="000E7334">
        <w:t>dists</w:t>
      </w:r>
      <w:proofErr w:type="spellEnd"/>
      <w:r w:rsidR="000E7334" w:rsidRPr="000E7334">
        <w:t xml:space="preserve"> v0.6.</w:t>
      </w:r>
    </w:p>
    <w:p w14:paraId="6400F60B" w14:textId="5CC3801E" w:rsidR="00577E7C" w:rsidRDefault="00577E7C" w:rsidP="004733BB">
      <w:pPr>
        <w:spacing w:line="480" w:lineRule="auto"/>
        <w:jc w:val="both"/>
      </w:pPr>
      <w:r>
        <w:br w:type="page"/>
      </w:r>
    </w:p>
    <w:p w14:paraId="5ED2F0CE" w14:textId="77777777" w:rsidR="00644473" w:rsidRDefault="00644473" w:rsidP="00644473">
      <w:pPr>
        <w:spacing w:line="480" w:lineRule="auto"/>
        <w:jc w:val="both"/>
      </w:pPr>
      <w:r>
        <w:lastRenderedPageBreak/>
        <w:t>RESULTS</w:t>
      </w:r>
    </w:p>
    <w:p w14:paraId="5D6CF99B" w14:textId="77777777" w:rsidR="00644473" w:rsidRPr="00AD3A41" w:rsidRDefault="00644473" w:rsidP="00644473">
      <w:pPr>
        <w:spacing w:line="480" w:lineRule="auto"/>
        <w:jc w:val="both"/>
        <w:rPr>
          <w:i/>
          <w:iCs/>
        </w:rPr>
      </w:pPr>
      <w:r w:rsidRPr="00AD3A41">
        <w:rPr>
          <w:i/>
          <w:iCs/>
        </w:rPr>
        <w:t>Lesion ecology</w:t>
      </w:r>
    </w:p>
    <w:p w14:paraId="38B0A94B" w14:textId="3F0A6634" w:rsidR="00644473" w:rsidRPr="001864BE" w:rsidRDefault="002340FD" w:rsidP="00644473">
      <w:pPr>
        <w:spacing w:line="480" w:lineRule="auto"/>
        <w:jc w:val="both"/>
      </w:pPr>
      <w:r>
        <w:rPr>
          <w:i/>
          <w:iCs/>
        </w:rPr>
        <w:t>S</w:t>
      </w:r>
      <w:r w:rsidR="005E7DEB">
        <w:rPr>
          <w:i/>
          <w:iCs/>
        </w:rPr>
        <w:t>.</w:t>
      </w:r>
      <w:r w:rsidR="00644473">
        <w:rPr>
          <w:i/>
          <w:iCs/>
        </w:rPr>
        <w:t xml:space="preserve"> </w:t>
      </w:r>
      <w:proofErr w:type="spellStart"/>
      <w:r w:rsidR="00644473">
        <w:rPr>
          <w:i/>
          <w:iCs/>
        </w:rPr>
        <w:t>hyicus</w:t>
      </w:r>
      <w:proofErr w:type="spellEnd"/>
      <w:r w:rsidR="00644473">
        <w:rPr>
          <w:i/>
          <w:iCs/>
        </w:rPr>
        <w:t xml:space="preserve"> </w:t>
      </w:r>
      <w:r w:rsidR="00296B15">
        <w:t>was the most frequently identified</w:t>
      </w:r>
      <w:r>
        <w:t xml:space="preserve"> species from the 20 lesion swabs that were screened</w:t>
      </w:r>
      <w:r w:rsidR="00296B15">
        <w:t xml:space="preserve">. </w:t>
      </w:r>
      <w:r>
        <w:t>This species accounted for</w:t>
      </w:r>
      <w:r w:rsidR="00296B15">
        <w:t xml:space="preserve"> 55% </w:t>
      </w:r>
      <w:r w:rsidR="005E7DEB">
        <w:t xml:space="preserve">(88/160) </w:t>
      </w:r>
      <w:r w:rsidR="00296B15">
        <w:t xml:space="preserve">of the isolated colonies </w:t>
      </w:r>
      <w:r>
        <w:t>from</w:t>
      </w:r>
      <w:r w:rsidR="00644473">
        <w:t xml:space="preserve"> 19 </w:t>
      </w:r>
      <w:r w:rsidR="009547CC">
        <w:t xml:space="preserve">of the </w:t>
      </w:r>
      <w:r w:rsidR="00296B15">
        <w:t>samples and</w:t>
      </w:r>
      <w:r w:rsidR="00644473">
        <w:t xml:space="preserve"> </w:t>
      </w:r>
      <w:r w:rsidR="00296B15">
        <w:t xml:space="preserve">was </w:t>
      </w:r>
      <w:r w:rsidR="00644473">
        <w:t>the predominant organism in 13 of the lesion swabs</w:t>
      </w:r>
      <w:r w:rsidR="00296B15">
        <w:t xml:space="preserve"> (Figure 1)</w:t>
      </w:r>
      <w:r w:rsidR="00644473">
        <w:t xml:space="preserve">. Two other </w:t>
      </w:r>
      <w:r w:rsidR="000E5658">
        <w:t xml:space="preserve">members of </w:t>
      </w:r>
      <w:r>
        <w:t xml:space="preserve">the </w:t>
      </w:r>
      <w:r w:rsidR="00296B15">
        <w:t>porcine</w:t>
      </w:r>
      <w:r w:rsidR="000E5658">
        <w:t xml:space="preserve"> </w:t>
      </w:r>
      <w:r w:rsidR="00644473">
        <w:t xml:space="preserve">native skin flora, </w:t>
      </w:r>
      <w:r w:rsidR="00644473">
        <w:rPr>
          <w:i/>
          <w:iCs/>
        </w:rPr>
        <w:t xml:space="preserve">Staphylococcus </w:t>
      </w:r>
      <w:proofErr w:type="spellStart"/>
      <w:r w:rsidR="00644473">
        <w:rPr>
          <w:i/>
          <w:iCs/>
        </w:rPr>
        <w:t>chromogenes</w:t>
      </w:r>
      <w:proofErr w:type="spellEnd"/>
      <w:r w:rsidR="00644473">
        <w:t xml:space="preserve"> and </w:t>
      </w:r>
      <w:r w:rsidR="00644473">
        <w:rPr>
          <w:i/>
          <w:iCs/>
        </w:rPr>
        <w:t>Staphylococcus aureus,</w:t>
      </w:r>
      <w:r w:rsidR="00644473">
        <w:t xml:space="preserve"> were identified in lower proportions at 11% </w:t>
      </w:r>
      <w:r w:rsidR="00296B15">
        <w:t>(n</w:t>
      </w:r>
      <w:r w:rsidR="004B6D41">
        <w:t xml:space="preserve"> </w:t>
      </w:r>
      <w:r w:rsidR="00296B15">
        <w:t>=</w:t>
      </w:r>
      <w:r w:rsidR="004B6D41">
        <w:t xml:space="preserve"> </w:t>
      </w:r>
      <w:r w:rsidR="00296B15">
        <w:t>18</w:t>
      </w:r>
      <w:r w:rsidR="004F3710">
        <w:t xml:space="preserve"> from ten pigs</w:t>
      </w:r>
      <w:r w:rsidR="00296B15">
        <w:t xml:space="preserve">) </w:t>
      </w:r>
      <w:r w:rsidR="00644473">
        <w:t>and 8%</w:t>
      </w:r>
      <w:r w:rsidR="00296B15">
        <w:t xml:space="preserve"> (n</w:t>
      </w:r>
      <w:r w:rsidR="004B6D41">
        <w:t xml:space="preserve"> </w:t>
      </w:r>
      <w:r w:rsidR="00296B15">
        <w:t>=</w:t>
      </w:r>
      <w:r w:rsidR="004B6D41">
        <w:t xml:space="preserve"> </w:t>
      </w:r>
      <w:r w:rsidR="00E7001C">
        <w:t>12</w:t>
      </w:r>
      <w:r w:rsidR="004F3710">
        <w:t xml:space="preserve"> from seven pigs</w:t>
      </w:r>
      <w:r w:rsidR="00E7001C">
        <w:t>)</w:t>
      </w:r>
      <w:r w:rsidR="00644473">
        <w:t xml:space="preserve"> respectively.</w:t>
      </w:r>
      <w:r w:rsidR="00D03514">
        <w:t xml:space="preserve"> </w:t>
      </w:r>
      <w:r w:rsidR="00644473">
        <w:t>Non-staphylococc</w:t>
      </w:r>
      <w:r w:rsidR="00D03514">
        <w:t>al</w:t>
      </w:r>
      <w:r w:rsidR="00644473">
        <w:t xml:space="preserve"> organisms (designated ‘other’) </w:t>
      </w:r>
      <w:r w:rsidR="00A74975">
        <w:t>compri</w:t>
      </w:r>
      <w:r w:rsidR="005B55F7">
        <w:t>sed</w:t>
      </w:r>
      <w:r w:rsidR="00A74975">
        <w:t xml:space="preserve"> </w:t>
      </w:r>
      <w:r w:rsidR="002D3365" w:rsidRPr="00137A6A">
        <w:rPr>
          <w:i/>
          <w:iCs/>
        </w:rPr>
        <w:t>Streptococcus suis</w:t>
      </w:r>
      <w:r w:rsidR="00866E0F">
        <w:t xml:space="preserve">, </w:t>
      </w:r>
      <w:r w:rsidR="00866E0F" w:rsidRPr="00137A6A">
        <w:rPr>
          <w:i/>
          <w:iCs/>
        </w:rPr>
        <w:t>E</w:t>
      </w:r>
      <w:r w:rsidR="009547CC">
        <w:rPr>
          <w:i/>
          <w:iCs/>
        </w:rPr>
        <w:t>.</w:t>
      </w:r>
      <w:r w:rsidR="00866E0F" w:rsidRPr="00137A6A">
        <w:rPr>
          <w:i/>
          <w:iCs/>
        </w:rPr>
        <w:t xml:space="preserve"> coli</w:t>
      </w:r>
      <w:r w:rsidR="00866E0F">
        <w:t xml:space="preserve"> and </w:t>
      </w:r>
      <w:proofErr w:type="spellStart"/>
      <w:r w:rsidR="00137A6A" w:rsidRPr="00137A6A">
        <w:rPr>
          <w:i/>
          <w:iCs/>
        </w:rPr>
        <w:t>Rothia</w:t>
      </w:r>
      <w:proofErr w:type="spellEnd"/>
      <w:r w:rsidR="00137A6A" w:rsidRPr="00137A6A">
        <w:rPr>
          <w:i/>
          <w:iCs/>
        </w:rPr>
        <w:t xml:space="preserve"> </w:t>
      </w:r>
      <w:proofErr w:type="spellStart"/>
      <w:r w:rsidR="00137A6A" w:rsidRPr="00137A6A">
        <w:rPr>
          <w:i/>
          <w:iCs/>
        </w:rPr>
        <w:t>nasimurium</w:t>
      </w:r>
      <w:proofErr w:type="spellEnd"/>
      <w:r w:rsidR="005B55F7">
        <w:rPr>
          <w:i/>
          <w:iCs/>
        </w:rPr>
        <w:t xml:space="preserve">, </w:t>
      </w:r>
      <w:r w:rsidR="005B55F7">
        <w:t>which accounted for 26% (n</w:t>
      </w:r>
      <w:r w:rsidR="004B6D41">
        <w:t xml:space="preserve"> </w:t>
      </w:r>
      <w:r w:rsidR="005B55F7">
        <w:t>=</w:t>
      </w:r>
      <w:r w:rsidR="004B6D41">
        <w:t xml:space="preserve"> </w:t>
      </w:r>
      <w:r w:rsidR="005B55F7">
        <w:t>42) of the isolates</w:t>
      </w:r>
      <w:r w:rsidR="00644473">
        <w:t>.</w:t>
      </w:r>
    </w:p>
    <w:p w14:paraId="6C5B70FE" w14:textId="1D9FEFAC" w:rsidR="00644473" w:rsidRDefault="00943CDA" w:rsidP="00943CDA">
      <w:pPr>
        <w:keepNext/>
        <w:spacing w:line="480" w:lineRule="auto"/>
        <w:jc w:val="both"/>
      </w:pPr>
      <w:r>
        <w:rPr>
          <w:noProof/>
        </w:rPr>
        <w:drawing>
          <wp:inline distT="0" distB="0" distL="0" distR="0" wp14:anchorId="3119D246" wp14:editId="1290A506">
            <wp:extent cx="6257925" cy="30158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97" t="10355" r="1830" b="6805"/>
                    <a:stretch/>
                  </pic:blipFill>
                  <pic:spPr bwMode="auto">
                    <a:xfrm>
                      <a:off x="0" y="0"/>
                      <a:ext cx="6290327" cy="3031483"/>
                    </a:xfrm>
                    <a:prstGeom prst="rect">
                      <a:avLst/>
                    </a:prstGeom>
                    <a:noFill/>
                    <a:ln>
                      <a:noFill/>
                    </a:ln>
                    <a:extLst>
                      <a:ext uri="{53640926-AAD7-44D8-BBD7-CCE9431645EC}">
                        <a14:shadowObscured xmlns:a14="http://schemas.microsoft.com/office/drawing/2010/main"/>
                      </a:ext>
                    </a:extLst>
                  </pic:spPr>
                </pic:pic>
              </a:graphicData>
            </a:graphic>
          </wp:inline>
        </w:drawing>
      </w:r>
    </w:p>
    <w:p w14:paraId="0B0ABCCF" w14:textId="55EE30ED" w:rsidR="00644473" w:rsidRPr="006F622A" w:rsidRDefault="00644473" w:rsidP="00644473">
      <w:pPr>
        <w:pStyle w:val="Caption"/>
        <w:jc w:val="both"/>
        <w:rPr>
          <w:i w:val="0"/>
          <w:iCs w:val="0"/>
          <w:color w:val="auto"/>
        </w:rPr>
      </w:pPr>
      <w:r w:rsidRPr="006F622A">
        <w:rPr>
          <w:b/>
          <w:bCs/>
          <w:i w:val="0"/>
          <w:iCs w:val="0"/>
          <w:color w:val="auto"/>
        </w:rPr>
        <w:t xml:space="preserve">Figure </w:t>
      </w:r>
      <w:r w:rsidRPr="006F622A">
        <w:rPr>
          <w:b/>
          <w:bCs/>
          <w:i w:val="0"/>
          <w:iCs w:val="0"/>
          <w:color w:val="auto"/>
        </w:rPr>
        <w:fldChar w:fldCharType="begin"/>
      </w:r>
      <w:r w:rsidRPr="006F622A">
        <w:rPr>
          <w:b/>
          <w:bCs/>
          <w:i w:val="0"/>
          <w:iCs w:val="0"/>
          <w:color w:val="auto"/>
        </w:rPr>
        <w:instrText xml:space="preserve"> SEQ Figure \* ARABIC </w:instrText>
      </w:r>
      <w:r w:rsidRPr="006F622A">
        <w:rPr>
          <w:b/>
          <w:bCs/>
          <w:i w:val="0"/>
          <w:iCs w:val="0"/>
          <w:color w:val="auto"/>
        </w:rPr>
        <w:fldChar w:fldCharType="separate"/>
      </w:r>
      <w:r w:rsidR="008867D9" w:rsidRPr="006F622A">
        <w:rPr>
          <w:b/>
          <w:bCs/>
          <w:i w:val="0"/>
          <w:iCs w:val="0"/>
          <w:noProof/>
          <w:color w:val="auto"/>
        </w:rPr>
        <w:t>1</w:t>
      </w:r>
      <w:r w:rsidRPr="006F622A">
        <w:rPr>
          <w:b/>
          <w:bCs/>
          <w:i w:val="0"/>
          <w:iCs w:val="0"/>
          <w:color w:val="auto"/>
        </w:rPr>
        <w:fldChar w:fldCharType="end"/>
      </w:r>
      <w:r w:rsidRPr="006F622A">
        <w:rPr>
          <w:i w:val="0"/>
          <w:iCs w:val="0"/>
          <w:color w:val="auto"/>
        </w:rPr>
        <w:t xml:space="preserve"> | Intra-lesion bacterial diversity of porcine exudative epidermitis lesion swabs obtained from 20 individual pigs. Eight colonies per lesion swab were identified to species level, and</w:t>
      </w:r>
      <w:r w:rsidR="009D74A5" w:rsidRPr="006F622A">
        <w:rPr>
          <w:i w:val="0"/>
          <w:iCs w:val="0"/>
          <w:color w:val="auto"/>
        </w:rPr>
        <w:t xml:space="preserve"> </w:t>
      </w:r>
      <w:r w:rsidRPr="006F622A">
        <w:rPr>
          <w:i w:val="0"/>
          <w:iCs w:val="0"/>
          <w:color w:val="auto"/>
        </w:rPr>
        <w:t>their frequency</w:t>
      </w:r>
      <w:r w:rsidR="009F1B19" w:rsidRPr="006F622A">
        <w:rPr>
          <w:i w:val="0"/>
          <w:iCs w:val="0"/>
          <w:color w:val="auto"/>
        </w:rPr>
        <w:t xml:space="preserve"> within and between pigs was</w:t>
      </w:r>
      <w:r w:rsidRPr="006F622A">
        <w:rPr>
          <w:i w:val="0"/>
          <w:iCs w:val="0"/>
          <w:color w:val="auto"/>
        </w:rPr>
        <w:t xml:space="preserve"> </w:t>
      </w:r>
      <w:r w:rsidR="00E93EBF" w:rsidRPr="006F622A">
        <w:rPr>
          <w:i w:val="0"/>
          <w:iCs w:val="0"/>
          <w:color w:val="auto"/>
        </w:rPr>
        <w:t>noted</w:t>
      </w:r>
      <w:r w:rsidRPr="006F622A">
        <w:rPr>
          <w:i w:val="0"/>
          <w:iCs w:val="0"/>
          <w:color w:val="auto"/>
        </w:rPr>
        <w:t xml:space="preserve">. ‘Other’ </w:t>
      </w:r>
      <w:r w:rsidR="00031985" w:rsidRPr="006F622A">
        <w:rPr>
          <w:i w:val="0"/>
          <w:iCs w:val="0"/>
          <w:color w:val="auto"/>
        </w:rPr>
        <w:t xml:space="preserve">denotes </w:t>
      </w:r>
      <w:r w:rsidRPr="006F622A">
        <w:rPr>
          <w:i w:val="0"/>
          <w:iCs w:val="0"/>
          <w:color w:val="auto"/>
        </w:rPr>
        <w:t>non-staphylococcal species.</w:t>
      </w:r>
    </w:p>
    <w:p w14:paraId="35FA007B" w14:textId="77777777" w:rsidR="00644473" w:rsidRDefault="00644473" w:rsidP="00644473">
      <w:pPr>
        <w:rPr>
          <w:i/>
          <w:iCs/>
        </w:rPr>
      </w:pPr>
      <w:r>
        <w:rPr>
          <w:i/>
          <w:iCs/>
        </w:rPr>
        <w:br w:type="page"/>
      </w:r>
    </w:p>
    <w:p w14:paraId="52F139C3" w14:textId="66EF201E" w:rsidR="00644473" w:rsidRDefault="00644473" w:rsidP="00644473">
      <w:pPr>
        <w:spacing w:line="480" w:lineRule="auto"/>
        <w:jc w:val="both"/>
        <w:rPr>
          <w:i/>
          <w:iCs/>
        </w:rPr>
      </w:pPr>
      <w:r>
        <w:rPr>
          <w:i/>
          <w:iCs/>
        </w:rPr>
        <w:lastRenderedPageBreak/>
        <w:t>Antimicrobial resistance phenotyp</w:t>
      </w:r>
      <w:r w:rsidR="00D92F70">
        <w:rPr>
          <w:i/>
          <w:iCs/>
        </w:rPr>
        <w:t>es</w:t>
      </w:r>
    </w:p>
    <w:p w14:paraId="0B41C7D5" w14:textId="5F789B32" w:rsidR="00644473" w:rsidRPr="00CA3E22" w:rsidRDefault="00644473" w:rsidP="00644473">
      <w:pPr>
        <w:spacing w:line="480" w:lineRule="auto"/>
        <w:jc w:val="both"/>
      </w:pPr>
      <w:r>
        <w:t xml:space="preserve">Seven unique phenotypic resistance profiles were </w:t>
      </w:r>
      <w:r w:rsidR="001A5423">
        <w:t>identified</w:t>
      </w:r>
      <w:r>
        <w:t xml:space="preserve"> a</w:t>
      </w:r>
      <w:r w:rsidR="001A5423">
        <w:t>mong</w:t>
      </w:r>
      <w:r>
        <w:t xml:space="preserve"> 88 </w:t>
      </w:r>
      <w:r>
        <w:rPr>
          <w:i/>
          <w:iCs/>
        </w:rPr>
        <w:t xml:space="preserve">S. </w:t>
      </w:r>
      <w:proofErr w:type="spellStart"/>
      <w:r>
        <w:rPr>
          <w:i/>
          <w:iCs/>
        </w:rPr>
        <w:t>hyicus</w:t>
      </w:r>
      <w:proofErr w:type="spellEnd"/>
      <w:r>
        <w:t xml:space="preserve"> isolates, </w:t>
      </w:r>
      <w:r w:rsidR="001F058C">
        <w:t xml:space="preserve">where </w:t>
      </w:r>
      <w:r>
        <w:t xml:space="preserve">the most common (54.5%) demonstrated resistance to both erythromycin and tetracycline (Table 1). Clinical breakpoints for lincomycin and florfenicol </w:t>
      </w:r>
      <w:r w:rsidRPr="00D03514">
        <w:t>were not available</w:t>
      </w:r>
      <w:r w:rsidR="001A5423">
        <w:t>;</w:t>
      </w:r>
      <w:r w:rsidRPr="00D03514">
        <w:t xml:space="preserve"> </w:t>
      </w:r>
      <w:r>
        <w:t>h</w:t>
      </w:r>
      <w:r w:rsidRPr="001F6E97">
        <w:t>owever</w:t>
      </w:r>
      <w:r>
        <w:t>,</w:t>
      </w:r>
      <w:r w:rsidRPr="001F6E97">
        <w:t xml:space="preserve"> </w:t>
      </w:r>
      <w:r w:rsidR="00481489">
        <w:t xml:space="preserve">using </w:t>
      </w:r>
      <w:r w:rsidR="00481489" w:rsidRPr="001F6E97">
        <w:t>EUCAST ECOFF values</w:t>
      </w:r>
      <w:r w:rsidR="00481489">
        <w:t>,</w:t>
      </w:r>
      <w:r w:rsidR="00481489" w:rsidRPr="001F6E97">
        <w:t xml:space="preserve"> </w:t>
      </w:r>
      <w:r w:rsidRPr="001F6E97">
        <w:t>100% and 87.</w:t>
      </w:r>
      <w:r>
        <w:t>5</w:t>
      </w:r>
      <w:r w:rsidRPr="001F6E97">
        <w:t xml:space="preserve">% of </w:t>
      </w:r>
      <w:r w:rsidRPr="001F6E97">
        <w:rPr>
          <w:i/>
          <w:iCs/>
        </w:rPr>
        <w:t xml:space="preserve">S. </w:t>
      </w:r>
      <w:proofErr w:type="spellStart"/>
      <w:r w:rsidRPr="001F6E97">
        <w:rPr>
          <w:i/>
          <w:iCs/>
        </w:rPr>
        <w:t>hyicus</w:t>
      </w:r>
      <w:proofErr w:type="spellEnd"/>
      <w:r w:rsidRPr="001F6E97">
        <w:rPr>
          <w:i/>
          <w:iCs/>
        </w:rPr>
        <w:t xml:space="preserve"> </w:t>
      </w:r>
      <w:r w:rsidRPr="001F6E97">
        <w:t>isolates were classified as non-wild type against lincomycin and florfenicol</w:t>
      </w:r>
      <w:r w:rsidR="00481489">
        <w:t>,</w:t>
      </w:r>
      <w:r w:rsidRPr="001F6E97">
        <w:t xml:space="preserve"> respectively. </w:t>
      </w:r>
      <w:r>
        <w:t>Isolates derived from the same</w:t>
      </w:r>
      <w:r w:rsidR="00683C96">
        <w:t xml:space="preserve"> pig</w:t>
      </w:r>
      <w:r>
        <w:t xml:space="preserve"> lesion often demonstrated differ</w:t>
      </w:r>
      <w:r w:rsidR="00D729D6">
        <w:t>ent</w:t>
      </w:r>
      <w:r>
        <w:t xml:space="preserve"> resistance profiles, </w:t>
      </w:r>
      <w:r w:rsidR="000A3BFB">
        <w:t xml:space="preserve">with </w:t>
      </w:r>
      <w:r w:rsidR="002D10C6">
        <w:t>up to</w:t>
      </w:r>
      <w:r>
        <w:t xml:space="preserve"> f</w:t>
      </w:r>
      <w:r w:rsidR="00FE3B99">
        <w:t>our</w:t>
      </w:r>
      <w:r>
        <w:t xml:space="preserve"> unique profiles seen </w:t>
      </w:r>
      <w:r w:rsidR="00F64ED1">
        <w:t>within</w:t>
      </w:r>
      <w:r w:rsidR="00A8683E">
        <w:t xml:space="preserve"> an</w:t>
      </w:r>
      <w:r>
        <w:t xml:space="preserve"> individual lesion</w:t>
      </w:r>
      <w:r w:rsidR="00FE3B99">
        <w:t xml:space="preserve"> (Table S</w:t>
      </w:r>
      <w:r w:rsidR="002457DA">
        <w:t>2</w:t>
      </w:r>
      <w:r w:rsidR="00FE3B99">
        <w:t>)</w:t>
      </w:r>
      <w:r>
        <w:t xml:space="preserve">. Multiclass resistance (based on CLSI clinical breakpoints) was observed </w:t>
      </w:r>
      <w:r w:rsidR="00224D0C">
        <w:t>in</w:t>
      </w:r>
      <w:r>
        <w:t xml:space="preserve"> 5.7% of </w:t>
      </w:r>
      <w:r>
        <w:rPr>
          <w:i/>
          <w:iCs/>
        </w:rPr>
        <w:t xml:space="preserve">S. </w:t>
      </w:r>
      <w:proofErr w:type="spellStart"/>
      <w:r>
        <w:rPr>
          <w:i/>
          <w:iCs/>
        </w:rPr>
        <w:t>hyicus</w:t>
      </w:r>
      <w:proofErr w:type="spellEnd"/>
      <w:r>
        <w:t xml:space="preserve"> isolates: 3.4% were resistant to three antimicrobial classes, and 2.3% were resistant to </w:t>
      </w:r>
      <w:r w:rsidR="0038518E">
        <w:t>four</w:t>
      </w:r>
      <w:r>
        <w:t xml:space="preserve"> antimicrobial classes. Several </w:t>
      </w:r>
      <w:r>
        <w:rPr>
          <w:i/>
          <w:iCs/>
        </w:rPr>
        <w:t>S</w:t>
      </w:r>
      <w:r w:rsidR="001A5423">
        <w:rPr>
          <w:i/>
          <w:iCs/>
        </w:rPr>
        <w:t>.</w:t>
      </w:r>
      <w:r>
        <w:rPr>
          <w:i/>
          <w:iCs/>
        </w:rPr>
        <w:t xml:space="preserve"> </w:t>
      </w:r>
      <w:proofErr w:type="gramStart"/>
      <w:r>
        <w:rPr>
          <w:i/>
          <w:iCs/>
        </w:rPr>
        <w:t>aureus</w:t>
      </w:r>
      <w:proofErr w:type="gramEnd"/>
      <w:r w:rsidR="001D174B">
        <w:t>,</w:t>
      </w:r>
      <w:r>
        <w:rPr>
          <w:i/>
          <w:iCs/>
        </w:rPr>
        <w:t xml:space="preserve"> S</w:t>
      </w:r>
      <w:r w:rsidR="001A5423">
        <w:rPr>
          <w:i/>
          <w:iCs/>
        </w:rPr>
        <w:t>.</w:t>
      </w:r>
      <w:r>
        <w:rPr>
          <w:i/>
          <w:iCs/>
        </w:rPr>
        <w:t xml:space="preserve"> </w:t>
      </w:r>
      <w:proofErr w:type="spellStart"/>
      <w:r>
        <w:rPr>
          <w:i/>
          <w:iCs/>
        </w:rPr>
        <w:t>chromogenes</w:t>
      </w:r>
      <w:proofErr w:type="spellEnd"/>
      <w:r>
        <w:t xml:space="preserve"> </w:t>
      </w:r>
      <w:r w:rsidR="001D174B">
        <w:t xml:space="preserve">and non-staphylococcal </w:t>
      </w:r>
      <w:r>
        <w:t xml:space="preserve">isolates derived from the lesions swabs also exhibited multiclass resistance, with some overlap in resistance profiles noted </w:t>
      </w:r>
      <w:r w:rsidR="001D174B">
        <w:t xml:space="preserve">between </w:t>
      </w:r>
      <w:r w:rsidR="00D03514">
        <w:t>species</w:t>
      </w:r>
      <w:r>
        <w:t xml:space="preserve"> (Table</w:t>
      </w:r>
      <w:r w:rsidR="001D174B">
        <w:t>s</w:t>
      </w:r>
      <w:r w:rsidR="00D03514">
        <w:t xml:space="preserve"> 1,</w:t>
      </w:r>
      <w:r>
        <w:t xml:space="preserve"> S</w:t>
      </w:r>
      <w:r w:rsidR="007632A6">
        <w:t>3</w:t>
      </w:r>
      <w:r w:rsidR="001D174B">
        <w:t>-S</w:t>
      </w:r>
      <w:r w:rsidR="00810194">
        <w:t>7</w:t>
      </w:r>
      <w:r>
        <w:t>).</w:t>
      </w:r>
    </w:p>
    <w:p w14:paraId="759BEF9F" w14:textId="37DA0477" w:rsidR="00644473" w:rsidRPr="00ED0C52" w:rsidRDefault="00644473" w:rsidP="00644473">
      <w:pPr>
        <w:pStyle w:val="Caption"/>
        <w:keepNext/>
        <w:rPr>
          <w:i w:val="0"/>
          <w:iCs w:val="0"/>
          <w:color w:val="auto"/>
        </w:rPr>
      </w:pPr>
      <w:r w:rsidRPr="00ED0C52">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252224">
        <w:rPr>
          <w:b/>
          <w:bCs/>
          <w:i w:val="0"/>
          <w:iCs w:val="0"/>
          <w:noProof/>
          <w:color w:val="auto"/>
        </w:rPr>
        <w:t>1</w:t>
      </w:r>
      <w:r>
        <w:rPr>
          <w:b/>
          <w:bCs/>
          <w:i w:val="0"/>
          <w:iCs w:val="0"/>
          <w:color w:val="auto"/>
        </w:rPr>
        <w:fldChar w:fldCharType="end"/>
      </w:r>
      <w:r w:rsidRPr="00ED0C52">
        <w:rPr>
          <w:i w:val="0"/>
          <w:iCs w:val="0"/>
          <w:color w:val="auto"/>
        </w:rPr>
        <w:t xml:space="preserve"> | </w:t>
      </w:r>
      <w:r>
        <w:rPr>
          <w:i w:val="0"/>
          <w:iCs w:val="0"/>
          <w:color w:val="auto"/>
        </w:rPr>
        <w:t xml:space="preserve">Phenotypic resistance profiles of </w:t>
      </w:r>
      <w:r>
        <w:rPr>
          <w:color w:val="auto"/>
        </w:rPr>
        <w:t xml:space="preserve">Staphylococcus </w:t>
      </w:r>
      <w:proofErr w:type="spellStart"/>
      <w:r>
        <w:rPr>
          <w:color w:val="auto"/>
        </w:rPr>
        <w:t>hyicus</w:t>
      </w:r>
      <w:proofErr w:type="spellEnd"/>
      <w:r>
        <w:rPr>
          <w:i w:val="0"/>
          <w:iCs w:val="0"/>
          <w:color w:val="auto"/>
        </w:rPr>
        <w:t xml:space="preserve"> (n = 88) isolated from Australian porcine skin lesions.</w:t>
      </w:r>
    </w:p>
    <w:tbl>
      <w:tblPr>
        <w:tblStyle w:val="TableGrid"/>
        <w:tblW w:w="471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8"/>
        <w:gridCol w:w="3568"/>
        <w:gridCol w:w="2208"/>
      </w:tblGrid>
      <w:tr w:rsidR="00644473" w:rsidRPr="00ED0C52" w14:paraId="7D3F68A9" w14:textId="77777777" w:rsidTr="00DB5917">
        <w:trPr>
          <w:trHeight w:val="962"/>
          <w:jc w:val="center"/>
        </w:trPr>
        <w:tc>
          <w:tcPr>
            <w:tcW w:w="1604" w:type="pct"/>
            <w:tcBorders>
              <w:top w:val="single" w:sz="4" w:space="0" w:color="auto"/>
              <w:bottom w:val="single" w:sz="4" w:space="0" w:color="auto"/>
            </w:tcBorders>
            <w:vAlign w:val="center"/>
          </w:tcPr>
          <w:p w14:paraId="7A449E45" w14:textId="77777777" w:rsidR="00644473" w:rsidRPr="00ED0C52" w:rsidRDefault="00644473" w:rsidP="00DB5917">
            <w:pPr>
              <w:jc w:val="center"/>
              <w:rPr>
                <w:rFonts w:asciiTheme="minorHAnsi" w:hAnsiTheme="minorHAnsi" w:cstheme="minorHAnsi"/>
                <w:b/>
              </w:rPr>
            </w:pPr>
            <w:r w:rsidRPr="00ED0C52">
              <w:rPr>
                <w:rFonts w:asciiTheme="minorHAnsi" w:hAnsiTheme="minorHAnsi" w:cstheme="minorHAnsi"/>
                <w:b/>
              </w:rPr>
              <w:t>Phenotypic resistance profile</w:t>
            </w:r>
          </w:p>
        </w:tc>
        <w:tc>
          <w:tcPr>
            <w:tcW w:w="2098" w:type="pct"/>
            <w:tcBorders>
              <w:top w:val="single" w:sz="4" w:space="0" w:color="auto"/>
              <w:bottom w:val="single" w:sz="4" w:space="0" w:color="auto"/>
            </w:tcBorders>
            <w:vAlign w:val="center"/>
          </w:tcPr>
          <w:p w14:paraId="3578B27B" w14:textId="77777777" w:rsidR="00644473" w:rsidRPr="00ED0C52" w:rsidRDefault="00644473" w:rsidP="00DB5917">
            <w:pPr>
              <w:jc w:val="center"/>
              <w:rPr>
                <w:rFonts w:asciiTheme="minorHAnsi" w:hAnsiTheme="minorHAnsi" w:cstheme="minorHAnsi"/>
                <w:b/>
              </w:rPr>
            </w:pPr>
            <w:r w:rsidRPr="00ED0C52">
              <w:rPr>
                <w:rFonts w:asciiTheme="minorHAnsi" w:hAnsiTheme="minorHAnsi" w:cstheme="minorHAnsi"/>
                <w:b/>
              </w:rPr>
              <w:t>Number of antimicrobial classes</w:t>
            </w:r>
          </w:p>
        </w:tc>
        <w:tc>
          <w:tcPr>
            <w:tcW w:w="1298" w:type="pct"/>
            <w:tcBorders>
              <w:top w:val="single" w:sz="4" w:space="0" w:color="auto"/>
              <w:bottom w:val="single" w:sz="4" w:space="0" w:color="auto"/>
            </w:tcBorders>
            <w:vAlign w:val="center"/>
          </w:tcPr>
          <w:p w14:paraId="7263E46F" w14:textId="77777777" w:rsidR="00644473" w:rsidRPr="00ED0C52" w:rsidRDefault="00644473" w:rsidP="00DB5917">
            <w:pPr>
              <w:jc w:val="center"/>
              <w:rPr>
                <w:rFonts w:asciiTheme="minorHAnsi" w:hAnsiTheme="minorHAnsi" w:cstheme="minorHAnsi"/>
                <w:b/>
              </w:rPr>
            </w:pPr>
            <w:r w:rsidRPr="00ED0C52">
              <w:rPr>
                <w:rFonts w:asciiTheme="minorHAnsi" w:hAnsiTheme="minorHAnsi" w:cstheme="minorHAnsi"/>
                <w:b/>
              </w:rPr>
              <w:t>Number of isolates</w:t>
            </w:r>
            <w:r>
              <w:rPr>
                <w:rFonts w:asciiTheme="minorHAnsi" w:hAnsiTheme="minorHAnsi" w:cstheme="minorHAnsi"/>
                <w:b/>
              </w:rPr>
              <w:t xml:space="preserve"> (%)</w:t>
            </w:r>
          </w:p>
        </w:tc>
      </w:tr>
      <w:tr w:rsidR="00644473" w:rsidRPr="00ED0C52" w14:paraId="50D7CAF2" w14:textId="77777777" w:rsidTr="00DB5917">
        <w:trPr>
          <w:trHeight w:val="481"/>
          <w:jc w:val="center"/>
        </w:trPr>
        <w:tc>
          <w:tcPr>
            <w:tcW w:w="1604" w:type="pct"/>
            <w:tcBorders>
              <w:top w:val="single" w:sz="4" w:space="0" w:color="auto"/>
            </w:tcBorders>
            <w:vAlign w:val="center"/>
          </w:tcPr>
          <w:p w14:paraId="049F22CB" w14:textId="77777777" w:rsidR="00644473" w:rsidRPr="00ED0C52" w:rsidRDefault="00644473" w:rsidP="00DB5917">
            <w:pPr>
              <w:rPr>
                <w:rFonts w:asciiTheme="minorHAnsi" w:hAnsiTheme="minorHAnsi" w:cstheme="minorHAnsi"/>
              </w:rPr>
            </w:pPr>
            <w:r>
              <w:rPr>
                <w:rFonts w:asciiTheme="minorHAnsi" w:hAnsiTheme="minorHAnsi" w:cstheme="minorHAnsi"/>
              </w:rPr>
              <w:t>n/a</w:t>
            </w:r>
          </w:p>
        </w:tc>
        <w:tc>
          <w:tcPr>
            <w:tcW w:w="2098" w:type="pct"/>
            <w:tcBorders>
              <w:top w:val="single" w:sz="4" w:space="0" w:color="auto"/>
            </w:tcBorders>
            <w:vAlign w:val="center"/>
          </w:tcPr>
          <w:p w14:paraId="680681E9" w14:textId="77777777" w:rsidR="00644473" w:rsidRPr="00ED0C52" w:rsidRDefault="00644473" w:rsidP="00DB5917">
            <w:pPr>
              <w:jc w:val="center"/>
              <w:rPr>
                <w:rFonts w:asciiTheme="minorHAnsi" w:hAnsiTheme="minorHAnsi" w:cstheme="minorHAnsi"/>
              </w:rPr>
            </w:pPr>
            <w:r>
              <w:rPr>
                <w:rFonts w:asciiTheme="minorHAnsi" w:hAnsiTheme="minorHAnsi" w:cstheme="minorHAnsi"/>
              </w:rPr>
              <w:t>0</w:t>
            </w:r>
          </w:p>
        </w:tc>
        <w:tc>
          <w:tcPr>
            <w:tcW w:w="1298" w:type="pct"/>
            <w:tcBorders>
              <w:top w:val="single" w:sz="4" w:space="0" w:color="auto"/>
            </w:tcBorders>
            <w:vAlign w:val="center"/>
          </w:tcPr>
          <w:p w14:paraId="5CB2C260" w14:textId="77777777" w:rsidR="00644473" w:rsidRPr="00ED0C52" w:rsidRDefault="00644473" w:rsidP="00DB5917">
            <w:pPr>
              <w:jc w:val="center"/>
              <w:rPr>
                <w:rFonts w:asciiTheme="minorHAnsi" w:hAnsiTheme="minorHAnsi" w:cstheme="minorHAnsi"/>
              </w:rPr>
            </w:pPr>
            <w:r>
              <w:rPr>
                <w:rFonts w:asciiTheme="minorHAnsi" w:hAnsiTheme="minorHAnsi" w:cstheme="minorHAnsi"/>
              </w:rPr>
              <w:t>2 (2.3)</w:t>
            </w:r>
          </w:p>
        </w:tc>
      </w:tr>
      <w:tr w:rsidR="00644473" w:rsidRPr="00ED0C52" w14:paraId="42F74C31" w14:textId="77777777" w:rsidTr="00DB5917">
        <w:trPr>
          <w:trHeight w:val="481"/>
          <w:jc w:val="center"/>
        </w:trPr>
        <w:tc>
          <w:tcPr>
            <w:tcW w:w="1604" w:type="pct"/>
            <w:vAlign w:val="center"/>
          </w:tcPr>
          <w:p w14:paraId="0191793D" w14:textId="77777777" w:rsidR="00644473" w:rsidRPr="004640FD" w:rsidRDefault="00644473" w:rsidP="00DB5917">
            <w:pPr>
              <w:rPr>
                <w:rFonts w:asciiTheme="minorHAnsi" w:hAnsiTheme="minorHAnsi" w:cstheme="minorHAnsi"/>
              </w:rPr>
            </w:pPr>
            <w:proofErr w:type="spellStart"/>
            <w:r w:rsidRPr="004640FD">
              <w:rPr>
                <w:rFonts w:asciiTheme="minorHAnsi" w:hAnsiTheme="minorHAnsi" w:cstheme="minorHAnsi"/>
              </w:rPr>
              <w:t>tet</w:t>
            </w:r>
            <w:proofErr w:type="spellEnd"/>
          </w:p>
        </w:tc>
        <w:tc>
          <w:tcPr>
            <w:tcW w:w="2098" w:type="pct"/>
            <w:vAlign w:val="center"/>
          </w:tcPr>
          <w:p w14:paraId="44E4CC09" w14:textId="77777777" w:rsidR="00644473" w:rsidRPr="004640FD" w:rsidRDefault="00644473" w:rsidP="00DB5917">
            <w:pPr>
              <w:jc w:val="center"/>
              <w:rPr>
                <w:rFonts w:asciiTheme="minorHAnsi" w:hAnsiTheme="minorHAnsi" w:cstheme="minorHAnsi"/>
              </w:rPr>
            </w:pPr>
            <w:r w:rsidRPr="004640FD">
              <w:rPr>
                <w:rFonts w:asciiTheme="minorHAnsi" w:hAnsiTheme="minorHAnsi" w:cstheme="minorHAnsi"/>
              </w:rPr>
              <w:t>1</w:t>
            </w:r>
          </w:p>
        </w:tc>
        <w:tc>
          <w:tcPr>
            <w:tcW w:w="1298" w:type="pct"/>
            <w:vAlign w:val="center"/>
          </w:tcPr>
          <w:p w14:paraId="18745BED" w14:textId="77777777" w:rsidR="00644473" w:rsidRPr="004640FD" w:rsidRDefault="00644473" w:rsidP="00DB5917">
            <w:pPr>
              <w:jc w:val="center"/>
              <w:rPr>
                <w:rFonts w:asciiTheme="minorHAnsi" w:hAnsiTheme="minorHAnsi" w:cstheme="minorHAnsi"/>
              </w:rPr>
            </w:pPr>
            <w:r w:rsidRPr="004640FD">
              <w:rPr>
                <w:rFonts w:asciiTheme="minorHAnsi" w:hAnsiTheme="minorHAnsi" w:cstheme="minorHAnsi"/>
              </w:rPr>
              <w:t>31</w:t>
            </w:r>
            <w:r>
              <w:rPr>
                <w:rFonts w:asciiTheme="minorHAnsi" w:hAnsiTheme="minorHAnsi" w:cstheme="minorHAnsi"/>
              </w:rPr>
              <w:t xml:space="preserve"> (35.2)</w:t>
            </w:r>
          </w:p>
        </w:tc>
      </w:tr>
      <w:tr w:rsidR="00644473" w:rsidRPr="00ED0C52" w14:paraId="1E992A63" w14:textId="77777777" w:rsidTr="00DB5917">
        <w:trPr>
          <w:trHeight w:val="511"/>
          <w:jc w:val="center"/>
        </w:trPr>
        <w:tc>
          <w:tcPr>
            <w:tcW w:w="1604" w:type="pct"/>
            <w:vAlign w:val="center"/>
          </w:tcPr>
          <w:p w14:paraId="2432DD60" w14:textId="77777777" w:rsidR="00644473" w:rsidRPr="004640FD" w:rsidRDefault="00644473" w:rsidP="00DB5917">
            <w:pPr>
              <w:rPr>
                <w:rFonts w:asciiTheme="minorHAnsi" w:hAnsiTheme="minorHAnsi" w:cstheme="minorHAnsi"/>
              </w:rPr>
            </w:pPr>
            <w:proofErr w:type="spellStart"/>
            <w:r>
              <w:rPr>
                <w:rFonts w:asciiTheme="minorHAnsi" w:hAnsiTheme="minorHAnsi" w:cstheme="minorHAnsi"/>
              </w:rPr>
              <w:t>ery</w:t>
            </w:r>
            <w:r w:rsidRPr="004640FD">
              <w:rPr>
                <w:rFonts w:asciiTheme="minorHAnsi" w:hAnsiTheme="minorHAnsi" w:cstheme="minorHAnsi"/>
              </w:rPr>
              <w:t>-tet</w:t>
            </w:r>
            <w:proofErr w:type="spellEnd"/>
          </w:p>
        </w:tc>
        <w:tc>
          <w:tcPr>
            <w:tcW w:w="2098" w:type="pct"/>
            <w:vAlign w:val="center"/>
          </w:tcPr>
          <w:p w14:paraId="4E638317" w14:textId="77777777" w:rsidR="00644473" w:rsidRPr="004640FD" w:rsidRDefault="00644473" w:rsidP="00DB5917">
            <w:pPr>
              <w:jc w:val="center"/>
              <w:rPr>
                <w:rFonts w:asciiTheme="minorHAnsi" w:hAnsiTheme="minorHAnsi" w:cstheme="minorHAnsi"/>
              </w:rPr>
            </w:pPr>
            <w:r w:rsidRPr="004640FD">
              <w:rPr>
                <w:rFonts w:asciiTheme="minorHAnsi" w:hAnsiTheme="minorHAnsi" w:cstheme="minorHAnsi"/>
              </w:rPr>
              <w:t>2</w:t>
            </w:r>
          </w:p>
        </w:tc>
        <w:tc>
          <w:tcPr>
            <w:tcW w:w="1298" w:type="pct"/>
            <w:vAlign w:val="center"/>
          </w:tcPr>
          <w:p w14:paraId="5AA8F3AD" w14:textId="77777777" w:rsidR="00644473" w:rsidRPr="004640FD" w:rsidRDefault="00644473" w:rsidP="00DB5917">
            <w:pPr>
              <w:jc w:val="center"/>
              <w:rPr>
                <w:rFonts w:asciiTheme="minorHAnsi" w:hAnsiTheme="minorHAnsi" w:cstheme="minorHAnsi"/>
              </w:rPr>
            </w:pPr>
            <w:r w:rsidRPr="004640FD">
              <w:rPr>
                <w:rFonts w:asciiTheme="minorHAnsi" w:hAnsiTheme="minorHAnsi" w:cstheme="minorHAnsi"/>
              </w:rPr>
              <w:t>4</w:t>
            </w:r>
            <w:r>
              <w:rPr>
                <w:rFonts w:asciiTheme="minorHAnsi" w:hAnsiTheme="minorHAnsi" w:cstheme="minorHAnsi"/>
              </w:rPr>
              <w:t>8 (54.5)</w:t>
            </w:r>
          </w:p>
        </w:tc>
      </w:tr>
      <w:tr w:rsidR="00644473" w:rsidRPr="00ED0C52" w14:paraId="286C81CA" w14:textId="77777777" w:rsidTr="00DB5917">
        <w:trPr>
          <w:trHeight w:val="481"/>
          <w:jc w:val="center"/>
        </w:trPr>
        <w:tc>
          <w:tcPr>
            <w:tcW w:w="1604" w:type="pct"/>
            <w:vAlign w:val="center"/>
          </w:tcPr>
          <w:p w14:paraId="74FBD913" w14:textId="77777777" w:rsidR="00644473" w:rsidRPr="00477EBA" w:rsidRDefault="00644473" w:rsidP="00DB5917">
            <w:pPr>
              <w:rPr>
                <w:rFonts w:asciiTheme="minorHAnsi" w:hAnsiTheme="minorHAnsi" w:cstheme="minorHAnsi"/>
              </w:rPr>
            </w:pPr>
            <w:proofErr w:type="spellStart"/>
            <w:r>
              <w:rPr>
                <w:rFonts w:asciiTheme="minorHAnsi" w:hAnsiTheme="minorHAnsi" w:cstheme="minorHAnsi"/>
              </w:rPr>
              <w:t>ery</w:t>
            </w:r>
            <w:proofErr w:type="spellEnd"/>
            <w:r>
              <w:rPr>
                <w:rFonts w:asciiTheme="minorHAnsi" w:hAnsiTheme="minorHAnsi" w:cstheme="minorHAnsi"/>
              </w:rPr>
              <w:t>-pen</w:t>
            </w:r>
          </w:p>
        </w:tc>
        <w:tc>
          <w:tcPr>
            <w:tcW w:w="2098" w:type="pct"/>
            <w:vAlign w:val="center"/>
          </w:tcPr>
          <w:p w14:paraId="7CC3A82F" w14:textId="77777777" w:rsidR="00644473" w:rsidRPr="00477EBA" w:rsidRDefault="00644473" w:rsidP="00DB5917">
            <w:pPr>
              <w:jc w:val="center"/>
              <w:rPr>
                <w:rFonts w:asciiTheme="minorHAnsi" w:hAnsiTheme="minorHAnsi" w:cstheme="minorHAnsi"/>
              </w:rPr>
            </w:pPr>
            <w:r w:rsidRPr="00477EBA">
              <w:rPr>
                <w:rFonts w:asciiTheme="minorHAnsi" w:hAnsiTheme="minorHAnsi" w:cstheme="minorHAnsi"/>
              </w:rPr>
              <w:t>2</w:t>
            </w:r>
          </w:p>
        </w:tc>
        <w:tc>
          <w:tcPr>
            <w:tcW w:w="1298" w:type="pct"/>
            <w:vAlign w:val="center"/>
          </w:tcPr>
          <w:p w14:paraId="7917FDB2" w14:textId="77777777" w:rsidR="00644473" w:rsidRPr="00477EBA" w:rsidRDefault="00644473" w:rsidP="00DB5917">
            <w:pPr>
              <w:jc w:val="center"/>
              <w:rPr>
                <w:rFonts w:asciiTheme="minorHAnsi" w:hAnsiTheme="minorHAnsi" w:cstheme="minorHAnsi"/>
              </w:rPr>
            </w:pPr>
            <w:r w:rsidRPr="00477EBA">
              <w:rPr>
                <w:rFonts w:asciiTheme="minorHAnsi" w:hAnsiTheme="minorHAnsi" w:cstheme="minorHAnsi"/>
              </w:rPr>
              <w:t>2</w:t>
            </w:r>
            <w:r>
              <w:rPr>
                <w:rFonts w:asciiTheme="minorHAnsi" w:hAnsiTheme="minorHAnsi" w:cstheme="minorHAnsi"/>
              </w:rPr>
              <w:t xml:space="preserve"> (2.3)</w:t>
            </w:r>
          </w:p>
        </w:tc>
      </w:tr>
      <w:tr w:rsidR="00644473" w:rsidRPr="00ED0C52" w14:paraId="5EF1D453" w14:textId="77777777" w:rsidTr="00DB5917">
        <w:trPr>
          <w:trHeight w:val="481"/>
          <w:jc w:val="center"/>
        </w:trPr>
        <w:tc>
          <w:tcPr>
            <w:tcW w:w="1604" w:type="pct"/>
            <w:vAlign w:val="center"/>
          </w:tcPr>
          <w:p w14:paraId="65BBDA0D" w14:textId="77777777" w:rsidR="00644473" w:rsidRPr="00420F5C" w:rsidRDefault="00644473" w:rsidP="00DB5917">
            <w:pPr>
              <w:rPr>
                <w:rFonts w:asciiTheme="minorHAnsi" w:hAnsiTheme="minorHAnsi" w:cstheme="minorHAnsi"/>
              </w:rPr>
            </w:pPr>
            <w:proofErr w:type="spellStart"/>
            <w:r>
              <w:rPr>
                <w:rFonts w:asciiTheme="minorHAnsi" w:hAnsiTheme="minorHAnsi" w:cstheme="minorHAnsi"/>
              </w:rPr>
              <w:t>ery</w:t>
            </w:r>
            <w:proofErr w:type="spellEnd"/>
            <w:r w:rsidRPr="00420F5C">
              <w:rPr>
                <w:rFonts w:asciiTheme="minorHAnsi" w:hAnsiTheme="minorHAnsi" w:cstheme="minorHAnsi"/>
              </w:rPr>
              <w:t>-</w:t>
            </w:r>
            <w:r>
              <w:rPr>
                <w:rFonts w:asciiTheme="minorHAnsi" w:hAnsiTheme="minorHAnsi" w:cstheme="minorHAnsi"/>
              </w:rPr>
              <w:t>pen-</w:t>
            </w:r>
            <w:proofErr w:type="spellStart"/>
            <w:r w:rsidRPr="00420F5C">
              <w:rPr>
                <w:rFonts w:asciiTheme="minorHAnsi" w:hAnsiTheme="minorHAnsi" w:cstheme="minorHAnsi"/>
              </w:rPr>
              <w:t>tet</w:t>
            </w:r>
            <w:proofErr w:type="spellEnd"/>
          </w:p>
        </w:tc>
        <w:tc>
          <w:tcPr>
            <w:tcW w:w="2098" w:type="pct"/>
            <w:vAlign w:val="center"/>
          </w:tcPr>
          <w:p w14:paraId="72A92359" w14:textId="77777777" w:rsidR="00644473" w:rsidRPr="00420F5C" w:rsidRDefault="00644473" w:rsidP="00DB5917">
            <w:pPr>
              <w:jc w:val="center"/>
              <w:rPr>
                <w:rFonts w:asciiTheme="minorHAnsi" w:hAnsiTheme="minorHAnsi" w:cstheme="minorHAnsi"/>
              </w:rPr>
            </w:pPr>
            <w:r w:rsidRPr="00420F5C">
              <w:rPr>
                <w:rFonts w:asciiTheme="minorHAnsi" w:hAnsiTheme="minorHAnsi" w:cstheme="minorHAnsi"/>
              </w:rPr>
              <w:t>3</w:t>
            </w:r>
          </w:p>
        </w:tc>
        <w:tc>
          <w:tcPr>
            <w:tcW w:w="1298" w:type="pct"/>
            <w:vAlign w:val="center"/>
          </w:tcPr>
          <w:p w14:paraId="5DBE0C7C" w14:textId="77777777" w:rsidR="00644473" w:rsidRPr="00420F5C" w:rsidRDefault="00644473" w:rsidP="00DB5917">
            <w:pPr>
              <w:jc w:val="center"/>
              <w:rPr>
                <w:rFonts w:asciiTheme="minorHAnsi" w:hAnsiTheme="minorHAnsi" w:cstheme="minorHAnsi"/>
              </w:rPr>
            </w:pPr>
            <w:r w:rsidRPr="00420F5C">
              <w:rPr>
                <w:rFonts w:asciiTheme="minorHAnsi" w:hAnsiTheme="minorHAnsi" w:cstheme="minorHAnsi"/>
              </w:rPr>
              <w:t>2</w:t>
            </w:r>
            <w:r>
              <w:rPr>
                <w:rFonts w:asciiTheme="minorHAnsi" w:hAnsiTheme="minorHAnsi" w:cstheme="minorHAnsi"/>
              </w:rPr>
              <w:t xml:space="preserve"> (2.3)</w:t>
            </w:r>
          </w:p>
        </w:tc>
      </w:tr>
      <w:tr w:rsidR="00644473" w:rsidRPr="00ED0C52" w14:paraId="45692776" w14:textId="77777777" w:rsidTr="00DB5917">
        <w:trPr>
          <w:trHeight w:val="511"/>
          <w:jc w:val="center"/>
        </w:trPr>
        <w:tc>
          <w:tcPr>
            <w:tcW w:w="1604" w:type="pct"/>
            <w:vAlign w:val="center"/>
          </w:tcPr>
          <w:p w14:paraId="7E6B67D7" w14:textId="77777777" w:rsidR="00644473" w:rsidRPr="00420F5C" w:rsidRDefault="00644473" w:rsidP="00DB5917">
            <w:pPr>
              <w:rPr>
                <w:rFonts w:asciiTheme="minorHAnsi" w:hAnsiTheme="minorHAnsi" w:cstheme="minorHAnsi"/>
              </w:rPr>
            </w:pPr>
            <w:proofErr w:type="spellStart"/>
            <w:r>
              <w:rPr>
                <w:rFonts w:asciiTheme="minorHAnsi" w:hAnsiTheme="minorHAnsi" w:cstheme="minorHAnsi"/>
              </w:rPr>
              <w:t>ery</w:t>
            </w:r>
            <w:r w:rsidRPr="00420F5C">
              <w:rPr>
                <w:rFonts w:asciiTheme="minorHAnsi" w:hAnsiTheme="minorHAnsi" w:cstheme="minorHAnsi"/>
              </w:rPr>
              <w:t>-</w:t>
            </w:r>
            <w:r>
              <w:rPr>
                <w:rFonts w:asciiTheme="minorHAnsi" w:hAnsiTheme="minorHAnsi" w:cstheme="minorHAnsi"/>
              </w:rPr>
              <w:t>sxt-</w:t>
            </w:r>
            <w:r w:rsidRPr="00420F5C">
              <w:rPr>
                <w:rFonts w:asciiTheme="minorHAnsi" w:hAnsiTheme="minorHAnsi" w:cstheme="minorHAnsi"/>
              </w:rPr>
              <w:t>tet</w:t>
            </w:r>
            <w:proofErr w:type="spellEnd"/>
          </w:p>
        </w:tc>
        <w:tc>
          <w:tcPr>
            <w:tcW w:w="2098" w:type="pct"/>
            <w:vAlign w:val="center"/>
          </w:tcPr>
          <w:p w14:paraId="797B8E53" w14:textId="77777777" w:rsidR="00644473" w:rsidRPr="00420F5C" w:rsidRDefault="00644473" w:rsidP="00DB5917">
            <w:pPr>
              <w:jc w:val="center"/>
              <w:rPr>
                <w:rFonts w:asciiTheme="minorHAnsi" w:hAnsiTheme="minorHAnsi" w:cstheme="minorHAnsi"/>
              </w:rPr>
            </w:pPr>
            <w:r w:rsidRPr="00420F5C">
              <w:rPr>
                <w:rFonts w:asciiTheme="minorHAnsi" w:hAnsiTheme="minorHAnsi" w:cstheme="minorHAnsi"/>
              </w:rPr>
              <w:t>3</w:t>
            </w:r>
          </w:p>
        </w:tc>
        <w:tc>
          <w:tcPr>
            <w:tcW w:w="1298" w:type="pct"/>
            <w:vAlign w:val="center"/>
          </w:tcPr>
          <w:p w14:paraId="141003A9" w14:textId="77777777" w:rsidR="00644473" w:rsidRPr="00420F5C" w:rsidRDefault="00644473" w:rsidP="00DB5917">
            <w:pPr>
              <w:jc w:val="center"/>
              <w:rPr>
                <w:rFonts w:asciiTheme="minorHAnsi" w:hAnsiTheme="minorHAnsi" w:cstheme="minorHAnsi"/>
              </w:rPr>
            </w:pPr>
            <w:r>
              <w:rPr>
                <w:rFonts w:asciiTheme="minorHAnsi" w:hAnsiTheme="minorHAnsi" w:cstheme="minorHAnsi"/>
              </w:rPr>
              <w:t>1 (1.1)</w:t>
            </w:r>
          </w:p>
        </w:tc>
      </w:tr>
      <w:tr w:rsidR="00644473" w:rsidRPr="00ED0C52" w14:paraId="79F8F9DB" w14:textId="77777777" w:rsidTr="00DB5917">
        <w:trPr>
          <w:trHeight w:val="481"/>
          <w:jc w:val="center"/>
        </w:trPr>
        <w:tc>
          <w:tcPr>
            <w:tcW w:w="1604" w:type="pct"/>
            <w:tcBorders>
              <w:bottom w:val="single" w:sz="4" w:space="0" w:color="auto"/>
            </w:tcBorders>
            <w:vAlign w:val="center"/>
          </w:tcPr>
          <w:p w14:paraId="6E1BB521" w14:textId="77777777" w:rsidR="00644473" w:rsidRPr="00420F5C" w:rsidRDefault="00644473" w:rsidP="00DB5917">
            <w:pPr>
              <w:rPr>
                <w:rFonts w:asciiTheme="minorHAnsi" w:hAnsiTheme="minorHAnsi" w:cstheme="minorHAnsi"/>
              </w:rPr>
            </w:pPr>
            <w:proofErr w:type="spellStart"/>
            <w:r>
              <w:rPr>
                <w:rFonts w:asciiTheme="minorHAnsi" w:hAnsiTheme="minorHAnsi" w:cstheme="minorHAnsi"/>
              </w:rPr>
              <w:t>ery</w:t>
            </w:r>
            <w:proofErr w:type="spellEnd"/>
            <w:r w:rsidRPr="00420F5C">
              <w:rPr>
                <w:rFonts w:asciiTheme="minorHAnsi" w:hAnsiTheme="minorHAnsi" w:cstheme="minorHAnsi"/>
              </w:rPr>
              <w:t>-</w:t>
            </w:r>
            <w:r>
              <w:rPr>
                <w:rFonts w:asciiTheme="minorHAnsi" w:hAnsiTheme="minorHAnsi" w:cstheme="minorHAnsi"/>
              </w:rPr>
              <w:t>pen-</w:t>
            </w:r>
            <w:proofErr w:type="spellStart"/>
            <w:r>
              <w:rPr>
                <w:rFonts w:asciiTheme="minorHAnsi" w:hAnsiTheme="minorHAnsi" w:cstheme="minorHAnsi"/>
              </w:rPr>
              <w:t>sxt</w:t>
            </w:r>
            <w:proofErr w:type="spellEnd"/>
            <w:r>
              <w:rPr>
                <w:rFonts w:asciiTheme="minorHAnsi" w:hAnsiTheme="minorHAnsi" w:cstheme="minorHAnsi"/>
              </w:rPr>
              <w:t>-</w:t>
            </w:r>
            <w:proofErr w:type="spellStart"/>
            <w:r w:rsidRPr="00420F5C">
              <w:rPr>
                <w:rFonts w:asciiTheme="minorHAnsi" w:hAnsiTheme="minorHAnsi" w:cstheme="minorHAnsi"/>
              </w:rPr>
              <w:t>tet</w:t>
            </w:r>
            <w:proofErr w:type="spellEnd"/>
          </w:p>
        </w:tc>
        <w:tc>
          <w:tcPr>
            <w:tcW w:w="2098" w:type="pct"/>
            <w:tcBorders>
              <w:bottom w:val="single" w:sz="4" w:space="0" w:color="auto"/>
            </w:tcBorders>
            <w:vAlign w:val="center"/>
          </w:tcPr>
          <w:p w14:paraId="380095F8" w14:textId="77777777" w:rsidR="00644473" w:rsidRPr="00420F5C" w:rsidRDefault="00644473" w:rsidP="00DB5917">
            <w:pPr>
              <w:jc w:val="center"/>
              <w:rPr>
                <w:rFonts w:asciiTheme="minorHAnsi" w:hAnsiTheme="minorHAnsi" w:cstheme="minorHAnsi"/>
              </w:rPr>
            </w:pPr>
            <w:r w:rsidRPr="00420F5C">
              <w:rPr>
                <w:rFonts w:asciiTheme="minorHAnsi" w:hAnsiTheme="minorHAnsi" w:cstheme="minorHAnsi"/>
              </w:rPr>
              <w:t>4</w:t>
            </w:r>
          </w:p>
        </w:tc>
        <w:tc>
          <w:tcPr>
            <w:tcW w:w="1298" w:type="pct"/>
            <w:tcBorders>
              <w:bottom w:val="single" w:sz="4" w:space="0" w:color="auto"/>
            </w:tcBorders>
            <w:vAlign w:val="center"/>
          </w:tcPr>
          <w:p w14:paraId="098622FD" w14:textId="77777777" w:rsidR="00644473" w:rsidRPr="00420F5C" w:rsidRDefault="00644473" w:rsidP="00DB5917">
            <w:pPr>
              <w:jc w:val="center"/>
              <w:rPr>
                <w:rFonts w:asciiTheme="minorHAnsi" w:hAnsiTheme="minorHAnsi" w:cstheme="minorHAnsi"/>
              </w:rPr>
            </w:pPr>
            <w:r>
              <w:rPr>
                <w:rFonts w:asciiTheme="minorHAnsi" w:hAnsiTheme="minorHAnsi" w:cstheme="minorHAnsi"/>
              </w:rPr>
              <w:t>2 (2.3)</w:t>
            </w:r>
          </w:p>
        </w:tc>
      </w:tr>
    </w:tbl>
    <w:p w14:paraId="5F963E5E" w14:textId="77777777" w:rsidR="00644473" w:rsidRDefault="00644473" w:rsidP="00644473">
      <w:pPr>
        <w:pStyle w:val="Caption"/>
        <w:rPr>
          <w:i w:val="0"/>
          <w:iCs w:val="0"/>
          <w:color w:val="auto"/>
        </w:rPr>
      </w:pPr>
      <w:r>
        <w:rPr>
          <w:i w:val="0"/>
          <w:iCs w:val="0"/>
          <w:color w:val="auto"/>
        </w:rPr>
        <w:t xml:space="preserve">Abbreviations: </w:t>
      </w:r>
      <w:proofErr w:type="spellStart"/>
      <w:r>
        <w:rPr>
          <w:i w:val="0"/>
          <w:iCs w:val="0"/>
          <w:color w:val="auto"/>
        </w:rPr>
        <w:t>ery</w:t>
      </w:r>
      <w:proofErr w:type="spellEnd"/>
      <w:r>
        <w:rPr>
          <w:i w:val="0"/>
          <w:iCs w:val="0"/>
          <w:color w:val="auto"/>
        </w:rPr>
        <w:t xml:space="preserve"> = erythromycin; pen = penicillin; </w:t>
      </w:r>
      <w:proofErr w:type="spellStart"/>
      <w:r>
        <w:rPr>
          <w:i w:val="0"/>
          <w:iCs w:val="0"/>
          <w:color w:val="auto"/>
        </w:rPr>
        <w:t>sxt</w:t>
      </w:r>
      <w:proofErr w:type="spellEnd"/>
      <w:r>
        <w:rPr>
          <w:i w:val="0"/>
          <w:iCs w:val="0"/>
          <w:color w:val="auto"/>
        </w:rPr>
        <w:t xml:space="preserve"> = co-trimoxazole; </w:t>
      </w:r>
      <w:proofErr w:type="spellStart"/>
      <w:r>
        <w:rPr>
          <w:i w:val="0"/>
          <w:iCs w:val="0"/>
          <w:color w:val="auto"/>
        </w:rPr>
        <w:t>tet</w:t>
      </w:r>
      <w:proofErr w:type="spellEnd"/>
      <w:r>
        <w:rPr>
          <w:i w:val="0"/>
          <w:iCs w:val="0"/>
          <w:color w:val="auto"/>
        </w:rPr>
        <w:t xml:space="preserve"> = tetracycline.</w:t>
      </w:r>
    </w:p>
    <w:p w14:paraId="21E38713" w14:textId="77777777" w:rsidR="00644473" w:rsidRDefault="00644473" w:rsidP="00644473">
      <w:pPr>
        <w:rPr>
          <w:i/>
          <w:iCs/>
        </w:rPr>
      </w:pPr>
      <w:r>
        <w:rPr>
          <w:i/>
          <w:iCs/>
        </w:rPr>
        <w:br w:type="page"/>
      </w:r>
    </w:p>
    <w:p w14:paraId="30C19F19" w14:textId="77777777" w:rsidR="00644473" w:rsidRDefault="00644473" w:rsidP="00644473">
      <w:pPr>
        <w:spacing w:before="240" w:line="480" w:lineRule="auto"/>
        <w:jc w:val="both"/>
        <w:rPr>
          <w:i/>
          <w:iCs/>
        </w:rPr>
      </w:pPr>
      <w:r>
        <w:rPr>
          <w:i/>
          <w:iCs/>
        </w:rPr>
        <w:lastRenderedPageBreak/>
        <w:t>Antimicrobial resistance genotyping</w:t>
      </w:r>
    </w:p>
    <w:p w14:paraId="0F014898" w14:textId="17A2D4B9" w:rsidR="00644473" w:rsidRPr="00D43A8B" w:rsidRDefault="00644473" w:rsidP="00644473">
      <w:pPr>
        <w:spacing w:before="240" w:line="480" w:lineRule="auto"/>
        <w:jc w:val="both"/>
      </w:pPr>
      <w:r>
        <w:t xml:space="preserve">Of the </w:t>
      </w:r>
      <w:r w:rsidR="00FB22AB">
        <w:t>27</w:t>
      </w:r>
      <w:r>
        <w:t xml:space="preserve"> </w:t>
      </w:r>
      <w:r>
        <w:rPr>
          <w:i/>
          <w:iCs/>
        </w:rPr>
        <w:t xml:space="preserve">S. </w:t>
      </w:r>
      <w:proofErr w:type="spellStart"/>
      <w:r>
        <w:rPr>
          <w:i/>
          <w:iCs/>
        </w:rPr>
        <w:t>hyicus</w:t>
      </w:r>
      <w:proofErr w:type="spellEnd"/>
      <w:r w:rsidR="001D7F11">
        <w:t xml:space="preserve"> subjected to WGS</w:t>
      </w:r>
      <w:r>
        <w:t>, f</w:t>
      </w:r>
      <w:r w:rsidR="00A26479">
        <w:t>ive</w:t>
      </w:r>
      <w:r>
        <w:t xml:space="preserve"> unique genotypic antimicrobial resistance profiles were identified (Table 2). The profiles included genes known to convey resistance to beta-lactam, </w:t>
      </w:r>
      <w:r w:rsidR="009C432E">
        <w:t>diaminopyrimidine</w:t>
      </w:r>
      <w:r>
        <w:t xml:space="preserve">, </w:t>
      </w:r>
      <w:proofErr w:type="spellStart"/>
      <w:r>
        <w:t>lincosamide</w:t>
      </w:r>
      <w:proofErr w:type="spellEnd"/>
      <w:r>
        <w:t>, macrolide</w:t>
      </w:r>
      <w:r w:rsidR="00D6467D">
        <w:t>,</w:t>
      </w:r>
      <w:r w:rsidR="00992F2E">
        <w:t xml:space="preserve"> pleuromutilin,</w:t>
      </w:r>
      <w:r w:rsidR="004B4409">
        <w:t xml:space="preserve"> streptogramin</w:t>
      </w:r>
      <w:r>
        <w:t xml:space="preserve"> and tetracycline antimicrobial classes. </w:t>
      </w:r>
      <w:r w:rsidR="00541868">
        <w:t xml:space="preserve">All </w:t>
      </w:r>
      <w:r w:rsidR="002239B5">
        <w:t>five</w:t>
      </w:r>
      <w:r w:rsidR="00CC1D91">
        <w:t xml:space="preserve"> profiles</w:t>
      </w:r>
      <w:r>
        <w:t xml:space="preserve"> (n = 2</w:t>
      </w:r>
      <w:r w:rsidR="00541868">
        <w:t>7</w:t>
      </w:r>
      <w:r>
        <w:t xml:space="preserve">) </w:t>
      </w:r>
      <w:r w:rsidR="007F3D93">
        <w:t>harboured</w:t>
      </w:r>
      <w:r w:rsidR="00CC1D91">
        <w:t xml:space="preserve"> </w:t>
      </w:r>
      <w:r>
        <w:t xml:space="preserve">antimicrobial resistance genes </w:t>
      </w:r>
      <w:r w:rsidR="00CA7137">
        <w:t xml:space="preserve">(ARGs) </w:t>
      </w:r>
      <w:r w:rsidR="00F96846">
        <w:t>directed</w:t>
      </w:r>
      <w:r>
        <w:t xml:space="preserve"> against </w:t>
      </w:r>
      <w:r w:rsidR="00204B6F">
        <w:t>four</w:t>
      </w:r>
      <w:r>
        <w:t xml:space="preserve"> or more antimicrobial</w:t>
      </w:r>
      <w:r w:rsidR="00FC683A">
        <w:t xml:space="preserve"> classes.</w:t>
      </w:r>
      <w:r w:rsidR="00B71AC0">
        <w:t xml:space="preserve"> </w:t>
      </w:r>
      <w:r w:rsidR="0079536B">
        <w:t xml:space="preserve">The </w:t>
      </w:r>
      <w:proofErr w:type="spellStart"/>
      <w:r w:rsidR="0079536B" w:rsidRPr="002A1927">
        <w:rPr>
          <w:i/>
          <w:iCs/>
        </w:rPr>
        <w:t>tet</w:t>
      </w:r>
      <w:proofErr w:type="spellEnd"/>
      <w:r w:rsidR="0079536B" w:rsidRPr="002A1927">
        <w:rPr>
          <w:i/>
          <w:iCs/>
        </w:rPr>
        <w:t>(K)</w:t>
      </w:r>
      <w:r w:rsidR="0079536B">
        <w:t xml:space="preserve"> ARG was detected commonly throughout</w:t>
      </w:r>
      <w:r w:rsidR="00AC52FE">
        <w:t xml:space="preserve"> </w:t>
      </w:r>
      <w:r w:rsidR="0079536B">
        <w:t xml:space="preserve">isolates, </w:t>
      </w:r>
      <w:r w:rsidR="00AC52FE">
        <w:t>except</w:t>
      </w:r>
      <w:r w:rsidR="00A877F3">
        <w:t xml:space="preserve"> for</w:t>
      </w:r>
      <w:r w:rsidR="00B94B1D">
        <w:t xml:space="preserve"> one which </w:t>
      </w:r>
      <w:r w:rsidR="00A877F3">
        <w:t xml:space="preserve">instead </w:t>
      </w:r>
      <w:r w:rsidR="00B94B1D">
        <w:t xml:space="preserve">carried a </w:t>
      </w:r>
      <w:proofErr w:type="spellStart"/>
      <w:r w:rsidR="00B94B1D" w:rsidRPr="002A1927">
        <w:rPr>
          <w:i/>
          <w:iCs/>
        </w:rPr>
        <w:t>tet</w:t>
      </w:r>
      <w:proofErr w:type="spellEnd"/>
      <w:r w:rsidR="00B94B1D" w:rsidRPr="002A1927">
        <w:rPr>
          <w:i/>
          <w:iCs/>
        </w:rPr>
        <w:t>(L)</w:t>
      </w:r>
      <w:r w:rsidR="00B94B1D">
        <w:t xml:space="preserve"> gene</w:t>
      </w:r>
      <w:r w:rsidR="00082B73">
        <w:t>, and</w:t>
      </w:r>
      <w:r w:rsidR="00B94B1D">
        <w:t xml:space="preserve"> </w:t>
      </w:r>
      <w:r w:rsidR="00082B73">
        <w:t>a</w:t>
      </w:r>
      <w:r w:rsidR="00B71AC0">
        <w:t xml:space="preserve"> subset of </w:t>
      </w:r>
      <w:r w:rsidR="00A877F3">
        <w:t xml:space="preserve">three </w:t>
      </w:r>
      <w:r w:rsidR="00B71AC0">
        <w:t xml:space="preserve">isolates </w:t>
      </w:r>
      <w:r w:rsidR="00B74139">
        <w:t>that lacked any tetracycline resistance genes</w:t>
      </w:r>
      <w:r w:rsidR="00082B73">
        <w:t>.</w:t>
      </w:r>
      <w:r w:rsidR="00104904">
        <w:t xml:space="preserve"> The isolate</w:t>
      </w:r>
      <w:r w:rsidR="00CA6A1A">
        <w:t xml:space="preserve"> </w:t>
      </w:r>
      <w:r w:rsidR="00B6739E">
        <w:t>carrying</w:t>
      </w:r>
      <w:r w:rsidR="00CA6A1A">
        <w:t xml:space="preserve"> </w:t>
      </w:r>
      <w:proofErr w:type="spellStart"/>
      <w:r w:rsidR="00CA6A1A" w:rsidRPr="002A1927">
        <w:rPr>
          <w:i/>
          <w:iCs/>
        </w:rPr>
        <w:t>tet</w:t>
      </w:r>
      <w:proofErr w:type="spellEnd"/>
      <w:r w:rsidR="00CA6A1A" w:rsidRPr="002A1927">
        <w:rPr>
          <w:i/>
          <w:iCs/>
        </w:rPr>
        <w:t>(L)</w:t>
      </w:r>
      <w:r w:rsidR="00CA6A1A">
        <w:t xml:space="preserve"> also differed in its carriage of </w:t>
      </w:r>
      <w:r w:rsidR="00CA6A1A" w:rsidRPr="002A1927">
        <w:rPr>
          <w:i/>
          <w:iCs/>
        </w:rPr>
        <w:t>erm(T)</w:t>
      </w:r>
      <w:r w:rsidR="00D9642E">
        <w:t>,</w:t>
      </w:r>
      <w:r w:rsidR="003B2AEC">
        <w:t xml:space="preserve"> wher</w:t>
      </w:r>
      <w:r w:rsidR="00F10AA9">
        <w:t>e</w:t>
      </w:r>
      <w:r w:rsidR="00A210DD">
        <w:t xml:space="preserve"> </w:t>
      </w:r>
      <w:r w:rsidR="00AB1054">
        <w:t>others possessed</w:t>
      </w:r>
      <w:r w:rsidR="00D43A8B">
        <w:t xml:space="preserve"> </w:t>
      </w:r>
      <w:r w:rsidR="00D43A8B" w:rsidRPr="002A1927">
        <w:rPr>
          <w:i/>
          <w:iCs/>
        </w:rPr>
        <w:t>erm(C)</w:t>
      </w:r>
      <w:r w:rsidR="00D43A8B">
        <w:t>.</w:t>
      </w:r>
      <w:r w:rsidR="006C2A8A">
        <w:t xml:space="preserve"> </w:t>
      </w:r>
      <w:r w:rsidR="00B7568B">
        <w:t>Additionally, the</w:t>
      </w:r>
      <w:r w:rsidR="00C71D8E">
        <w:t xml:space="preserve"> </w:t>
      </w:r>
      <w:proofErr w:type="spellStart"/>
      <w:r w:rsidR="00C71D8E" w:rsidRPr="00C71D8E">
        <w:rPr>
          <w:i/>
          <w:iCs/>
        </w:rPr>
        <w:t>dfr</w:t>
      </w:r>
      <w:r w:rsidR="000D4E43">
        <w:rPr>
          <w:i/>
          <w:iCs/>
        </w:rPr>
        <w:t>G</w:t>
      </w:r>
      <w:proofErr w:type="spellEnd"/>
      <w:r w:rsidR="002E6B8A">
        <w:t xml:space="preserve"> </w:t>
      </w:r>
      <w:r w:rsidR="00F94881">
        <w:t>gene</w:t>
      </w:r>
      <w:r w:rsidR="002E6B8A">
        <w:t xml:space="preserve"> was detected </w:t>
      </w:r>
      <w:r w:rsidR="00F94881">
        <w:t>in</w:t>
      </w:r>
      <w:r w:rsidR="00A31C74">
        <w:t xml:space="preserve"> only</w:t>
      </w:r>
      <w:r w:rsidR="00F94881">
        <w:t xml:space="preserve"> a single isolate</w:t>
      </w:r>
      <w:r w:rsidR="00A31C74">
        <w:t>,</w:t>
      </w:r>
      <w:r w:rsidR="00F94881">
        <w:t xml:space="preserve"> which </w:t>
      </w:r>
      <w:r w:rsidR="00A31C74">
        <w:t>carried</w:t>
      </w:r>
      <w:r w:rsidR="00F94881">
        <w:t xml:space="preserve"> the </w:t>
      </w:r>
      <w:r w:rsidR="00A31C74">
        <w:t>highest number of</w:t>
      </w:r>
      <w:r w:rsidR="00F94881">
        <w:t xml:space="preserve"> ARGs.</w:t>
      </w:r>
    </w:p>
    <w:p w14:paraId="3F4A9FC6" w14:textId="77777777" w:rsidR="00644473" w:rsidRPr="00ED0C52" w:rsidRDefault="00644473" w:rsidP="00644473">
      <w:pPr>
        <w:pStyle w:val="Caption"/>
        <w:keepNext/>
        <w:rPr>
          <w:i w:val="0"/>
          <w:iCs w:val="0"/>
          <w:color w:val="auto"/>
        </w:rPr>
      </w:pPr>
      <w:r w:rsidRPr="00ED0C52">
        <w:rPr>
          <w:b/>
          <w:bCs/>
          <w:i w:val="0"/>
          <w:iCs w:val="0"/>
          <w:color w:val="auto"/>
        </w:rPr>
        <w:t xml:space="preserve">Table </w:t>
      </w:r>
      <w:r>
        <w:rPr>
          <w:b/>
          <w:bCs/>
          <w:i w:val="0"/>
          <w:iCs w:val="0"/>
          <w:color w:val="auto"/>
        </w:rPr>
        <w:t>2</w:t>
      </w:r>
      <w:r w:rsidRPr="00ED0C52">
        <w:rPr>
          <w:i w:val="0"/>
          <w:iCs w:val="0"/>
          <w:color w:val="auto"/>
        </w:rPr>
        <w:t xml:space="preserve"> | </w:t>
      </w:r>
      <w:r>
        <w:rPr>
          <w:i w:val="0"/>
          <w:iCs w:val="0"/>
          <w:color w:val="auto"/>
        </w:rPr>
        <w:t xml:space="preserve">Genotypic resistance profiles of </w:t>
      </w:r>
      <w:r>
        <w:rPr>
          <w:color w:val="auto"/>
        </w:rPr>
        <w:t xml:space="preserve">Staphylococcus </w:t>
      </w:r>
      <w:proofErr w:type="spellStart"/>
      <w:r>
        <w:rPr>
          <w:color w:val="auto"/>
        </w:rPr>
        <w:t>hyicus</w:t>
      </w:r>
      <w:proofErr w:type="spellEnd"/>
      <w:r>
        <w:rPr>
          <w:i w:val="0"/>
          <w:iCs w:val="0"/>
          <w:color w:val="auto"/>
        </w:rPr>
        <w:t xml:space="preserve"> (n = 27) isolated from Australian porcine skin lesions.</w:t>
      </w:r>
    </w:p>
    <w:tbl>
      <w:tblPr>
        <w:tblStyle w:val="TableGrid"/>
        <w:tblW w:w="46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2151"/>
        <w:gridCol w:w="2207"/>
      </w:tblGrid>
      <w:tr w:rsidR="00644473" w:rsidRPr="00ED0C52" w14:paraId="3077F0A1" w14:textId="77777777" w:rsidTr="1BBF6B17">
        <w:trPr>
          <w:trHeight w:val="962"/>
          <w:jc w:val="center"/>
        </w:trPr>
        <w:tc>
          <w:tcPr>
            <w:tcW w:w="2427" w:type="pct"/>
            <w:tcBorders>
              <w:top w:val="single" w:sz="4" w:space="0" w:color="auto"/>
              <w:bottom w:val="single" w:sz="4" w:space="0" w:color="auto"/>
            </w:tcBorders>
            <w:vAlign w:val="center"/>
          </w:tcPr>
          <w:p w14:paraId="2CE03D62" w14:textId="77777777" w:rsidR="00644473" w:rsidRPr="00ED0C52" w:rsidRDefault="00644473" w:rsidP="00DB5917">
            <w:pPr>
              <w:jc w:val="center"/>
              <w:rPr>
                <w:rFonts w:asciiTheme="minorHAnsi" w:hAnsiTheme="minorHAnsi" w:cstheme="minorHAnsi"/>
                <w:b/>
              </w:rPr>
            </w:pPr>
            <w:r>
              <w:rPr>
                <w:rFonts w:asciiTheme="minorHAnsi" w:hAnsiTheme="minorHAnsi" w:cstheme="minorHAnsi"/>
                <w:b/>
              </w:rPr>
              <w:t>G</w:t>
            </w:r>
            <w:r w:rsidRPr="00ED0C52">
              <w:rPr>
                <w:rFonts w:asciiTheme="minorHAnsi" w:hAnsiTheme="minorHAnsi" w:cstheme="minorHAnsi"/>
                <w:b/>
              </w:rPr>
              <w:t>enotypic resistance profile</w:t>
            </w:r>
          </w:p>
        </w:tc>
        <w:tc>
          <w:tcPr>
            <w:tcW w:w="1270" w:type="pct"/>
            <w:tcBorders>
              <w:top w:val="single" w:sz="4" w:space="0" w:color="auto"/>
              <w:bottom w:val="single" w:sz="4" w:space="0" w:color="auto"/>
            </w:tcBorders>
            <w:vAlign w:val="center"/>
          </w:tcPr>
          <w:p w14:paraId="319F92E6" w14:textId="77777777" w:rsidR="00644473" w:rsidRPr="00ED0C52" w:rsidRDefault="00644473" w:rsidP="00DB5917">
            <w:pPr>
              <w:jc w:val="center"/>
              <w:rPr>
                <w:rFonts w:asciiTheme="minorHAnsi" w:hAnsiTheme="minorHAnsi" w:cstheme="minorHAnsi"/>
                <w:b/>
              </w:rPr>
            </w:pPr>
            <w:r w:rsidRPr="00ED0C52">
              <w:rPr>
                <w:rFonts w:asciiTheme="minorHAnsi" w:hAnsiTheme="minorHAnsi" w:cstheme="minorHAnsi"/>
                <w:b/>
              </w:rPr>
              <w:t>Number of antimicrobial classes</w:t>
            </w:r>
          </w:p>
        </w:tc>
        <w:tc>
          <w:tcPr>
            <w:tcW w:w="1303" w:type="pct"/>
            <w:tcBorders>
              <w:top w:val="single" w:sz="4" w:space="0" w:color="auto"/>
              <w:bottom w:val="single" w:sz="4" w:space="0" w:color="auto"/>
            </w:tcBorders>
            <w:vAlign w:val="center"/>
          </w:tcPr>
          <w:p w14:paraId="51D3412B" w14:textId="77777777" w:rsidR="00644473" w:rsidRPr="00ED0C52" w:rsidRDefault="00644473" w:rsidP="00DB5917">
            <w:pPr>
              <w:jc w:val="center"/>
              <w:rPr>
                <w:rFonts w:asciiTheme="minorHAnsi" w:hAnsiTheme="minorHAnsi" w:cstheme="minorHAnsi"/>
                <w:b/>
              </w:rPr>
            </w:pPr>
            <w:r w:rsidRPr="00ED0C52">
              <w:rPr>
                <w:rFonts w:asciiTheme="minorHAnsi" w:hAnsiTheme="minorHAnsi" w:cstheme="minorHAnsi"/>
                <w:b/>
              </w:rPr>
              <w:t>Number of isolates</w:t>
            </w:r>
            <w:r>
              <w:rPr>
                <w:rFonts w:asciiTheme="minorHAnsi" w:hAnsiTheme="minorHAnsi" w:cstheme="minorHAnsi"/>
                <w:b/>
              </w:rPr>
              <w:t xml:space="preserve"> (%)</w:t>
            </w:r>
          </w:p>
        </w:tc>
      </w:tr>
      <w:tr w:rsidR="00644473" w:rsidRPr="00ED0C52" w14:paraId="1CFC4442" w14:textId="77777777" w:rsidTr="1BBF6B17">
        <w:trPr>
          <w:trHeight w:val="481"/>
          <w:jc w:val="center"/>
        </w:trPr>
        <w:tc>
          <w:tcPr>
            <w:tcW w:w="2427" w:type="pct"/>
            <w:vAlign w:val="center"/>
          </w:tcPr>
          <w:p w14:paraId="04571A72" w14:textId="25FD6FD6" w:rsidR="00644473" w:rsidRPr="002A1927" w:rsidRDefault="00644473" w:rsidP="00DB5917">
            <w:pPr>
              <w:rPr>
                <w:rFonts w:asciiTheme="minorHAnsi" w:hAnsiTheme="minorHAnsi" w:cstheme="minorHAnsi"/>
                <w:i/>
                <w:iCs/>
              </w:rPr>
            </w:pPr>
            <w:proofErr w:type="spellStart"/>
            <w:r w:rsidRPr="002A1927">
              <w:rPr>
                <w:rFonts w:asciiTheme="minorHAnsi" w:hAnsiTheme="minorHAnsi" w:cstheme="minorHAnsi"/>
                <w:i/>
                <w:iCs/>
              </w:rPr>
              <w:t>bla</w:t>
            </w:r>
            <w:r w:rsidR="005C5994" w:rsidRPr="002A1927">
              <w:rPr>
                <w:rFonts w:asciiTheme="minorHAnsi" w:hAnsiTheme="minorHAnsi" w:cstheme="minorHAnsi"/>
                <w:i/>
                <w:iCs/>
              </w:rPr>
              <w:t>Z</w:t>
            </w:r>
            <w:proofErr w:type="spellEnd"/>
            <w:r w:rsidR="00D173B9" w:rsidRPr="002A1927">
              <w:rPr>
                <w:rFonts w:asciiTheme="minorHAnsi" w:hAnsiTheme="minorHAnsi" w:cstheme="minorHAnsi"/>
                <w:i/>
                <w:iCs/>
              </w:rPr>
              <w:t xml:space="preserve"> </w:t>
            </w:r>
            <w:r w:rsidRPr="002A1927">
              <w:rPr>
                <w:rFonts w:asciiTheme="minorHAnsi" w:hAnsiTheme="minorHAnsi" w:cstheme="minorHAnsi"/>
                <w:i/>
                <w:iCs/>
              </w:rPr>
              <w:t>-</w:t>
            </w:r>
            <w:r w:rsidR="00D173B9" w:rsidRPr="002A1927">
              <w:rPr>
                <w:rFonts w:asciiTheme="minorHAnsi" w:hAnsiTheme="minorHAnsi" w:cstheme="minorHAnsi"/>
                <w:i/>
                <w:iCs/>
              </w:rPr>
              <w:t xml:space="preserve"> </w:t>
            </w:r>
            <w:proofErr w:type="spellStart"/>
            <w:r w:rsidR="00124C5B" w:rsidRPr="002A1927">
              <w:rPr>
                <w:rFonts w:asciiTheme="minorHAnsi" w:hAnsiTheme="minorHAnsi" w:cstheme="minorHAnsi"/>
                <w:i/>
                <w:iCs/>
              </w:rPr>
              <w:t>l</w:t>
            </w:r>
            <w:r w:rsidR="00DE44CE" w:rsidRPr="002A1927">
              <w:rPr>
                <w:rFonts w:asciiTheme="minorHAnsi" w:hAnsiTheme="minorHAnsi" w:cstheme="minorHAnsi"/>
                <w:i/>
                <w:iCs/>
              </w:rPr>
              <w:t>nu</w:t>
            </w:r>
            <w:proofErr w:type="spellEnd"/>
            <w:r w:rsidR="00DE44CE" w:rsidRPr="002A1927">
              <w:rPr>
                <w:rFonts w:asciiTheme="minorHAnsi" w:hAnsiTheme="minorHAnsi" w:cstheme="minorHAnsi"/>
                <w:i/>
                <w:iCs/>
              </w:rPr>
              <w:t>(B)</w:t>
            </w:r>
            <w:r w:rsidR="00BD43BE" w:rsidRPr="002A1927">
              <w:rPr>
                <w:rFonts w:asciiTheme="minorHAnsi" w:hAnsiTheme="minorHAnsi" w:cstheme="minorHAnsi"/>
                <w:i/>
                <w:iCs/>
              </w:rPr>
              <w:t xml:space="preserve"> – </w:t>
            </w:r>
            <w:proofErr w:type="spellStart"/>
            <w:r w:rsidR="00217F45" w:rsidRPr="002A1927">
              <w:rPr>
                <w:rFonts w:asciiTheme="minorHAnsi" w:hAnsiTheme="minorHAnsi" w:cstheme="minorHAnsi"/>
                <w:i/>
                <w:iCs/>
              </w:rPr>
              <w:t>l</w:t>
            </w:r>
            <w:r w:rsidR="00BD43BE" w:rsidRPr="002A1927">
              <w:rPr>
                <w:rFonts w:asciiTheme="minorHAnsi" w:hAnsiTheme="minorHAnsi" w:cstheme="minorHAnsi"/>
                <w:i/>
                <w:iCs/>
              </w:rPr>
              <w:t>sa</w:t>
            </w:r>
            <w:proofErr w:type="spellEnd"/>
            <w:r w:rsidR="00BD43BE" w:rsidRPr="002A1927">
              <w:rPr>
                <w:rFonts w:asciiTheme="minorHAnsi" w:hAnsiTheme="minorHAnsi" w:cstheme="minorHAnsi"/>
                <w:i/>
                <w:iCs/>
              </w:rPr>
              <w:t>(E)</w:t>
            </w:r>
          </w:p>
        </w:tc>
        <w:tc>
          <w:tcPr>
            <w:tcW w:w="1270" w:type="pct"/>
            <w:vAlign w:val="center"/>
          </w:tcPr>
          <w:p w14:paraId="1C9E459B" w14:textId="67FCC97E" w:rsidR="00644473" w:rsidRPr="004640FD" w:rsidRDefault="002C3151" w:rsidP="00DB5917">
            <w:pPr>
              <w:jc w:val="center"/>
              <w:rPr>
                <w:rFonts w:asciiTheme="minorHAnsi" w:hAnsiTheme="minorHAnsi" w:cstheme="minorHAnsi"/>
              </w:rPr>
            </w:pPr>
            <w:r>
              <w:rPr>
                <w:rFonts w:asciiTheme="minorHAnsi" w:hAnsiTheme="minorHAnsi" w:cstheme="minorHAnsi"/>
              </w:rPr>
              <w:t>4</w:t>
            </w:r>
          </w:p>
        </w:tc>
        <w:tc>
          <w:tcPr>
            <w:tcW w:w="1303" w:type="pct"/>
            <w:vAlign w:val="center"/>
          </w:tcPr>
          <w:p w14:paraId="7EE11C01" w14:textId="77777777" w:rsidR="00644473" w:rsidRPr="004640FD" w:rsidRDefault="00644473" w:rsidP="00DB5917">
            <w:pPr>
              <w:jc w:val="center"/>
              <w:rPr>
                <w:rFonts w:asciiTheme="minorHAnsi" w:hAnsiTheme="minorHAnsi" w:cstheme="minorHAnsi"/>
              </w:rPr>
            </w:pPr>
            <w:r>
              <w:rPr>
                <w:rFonts w:asciiTheme="minorHAnsi" w:hAnsiTheme="minorHAnsi" w:cstheme="minorHAnsi"/>
              </w:rPr>
              <w:t>3 (11.1)</w:t>
            </w:r>
          </w:p>
        </w:tc>
      </w:tr>
      <w:tr w:rsidR="00644473" w:rsidRPr="00ED0C52" w14:paraId="102B5E9A" w14:textId="77777777" w:rsidTr="1BBF6B17">
        <w:trPr>
          <w:trHeight w:val="511"/>
          <w:jc w:val="center"/>
        </w:trPr>
        <w:tc>
          <w:tcPr>
            <w:tcW w:w="2427" w:type="pct"/>
            <w:vAlign w:val="center"/>
          </w:tcPr>
          <w:p w14:paraId="14D34F0D" w14:textId="60B0E090" w:rsidR="00644473" w:rsidRPr="002A1927" w:rsidRDefault="00DE44CE" w:rsidP="00DB5917">
            <w:pPr>
              <w:rPr>
                <w:rFonts w:asciiTheme="minorHAnsi" w:hAnsiTheme="minorHAnsi" w:cstheme="minorHAnsi"/>
                <w:i/>
                <w:iCs/>
              </w:rPr>
            </w:pPr>
            <w:proofErr w:type="spellStart"/>
            <w:r w:rsidRPr="002A1927">
              <w:rPr>
                <w:rFonts w:asciiTheme="minorHAnsi" w:hAnsiTheme="minorHAnsi" w:cstheme="minorHAnsi"/>
                <w:i/>
                <w:iCs/>
              </w:rPr>
              <w:t>blaZ</w:t>
            </w:r>
            <w:proofErr w:type="spellEnd"/>
            <w:r w:rsidRPr="002A1927">
              <w:rPr>
                <w:rFonts w:asciiTheme="minorHAnsi" w:hAnsiTheme="minorHAnsi" w:cstheme="minorHAnsi"/>
                <w:i/>
                <w:iCs/>
              </w:rPr>
              <w:t xml:space="preserve"> </w:t>
            </w:r>
            <w:r w:rsidR="00644473" w:rsidRPr="002A1927">
              <w:rPr>
                <w:rFonts w:asciiTheme="minorHAnsi" w:hAnsiTheme="minorHAnsi" w:cstheme="minorHAnsi"/>
                <w:i/>
                <w:iCs/>
              </w:rPr>
              <w:t>-</w:t>
            </w:r>
            <w:r w:rsidRPr="002A1927">
              <w:rPr>
                <w:rFonts w:asciiTheme="minorHAnsi" w:hAnsiTheme="minorHAnsi" w:cstheme="minorHAnsi"/>
                <w:i/>
                <w:iCs/>
              </w:rPr>
              <w:t xml:space="preserve"> </w:t>
            </w:r>
            <w:proofErr w:type="spellStart"/>
            <w:r w:rsidR="002F3AA2" w:rsidRPr="002A1927">
              <w:rPr>
                <w:rFonts w:asciiTheme="minorHAnsi" w:hAnsiTheme="minorHAnsi" w:cstheme="minorHAnsi"/>
                <w:i/>
                <w:iCs/>
              </w:rPr>
              <w:t>l</w:t>
            </w:r>
            <w:r w:rsidRPr="002A1927">
              <w:rPr>
                <w:rFonts w:asciiTheme="minorHAnsi" w:hAnsiTheme="minorHAnsi" w:cstheme="minorHAnsi"/>
                <w:i/>
                <w:iCs/>
              </w:rPr>
              <w:t>nu</w:t>
            </w:r>
            <w:proofErr w:type="spellEnd"/>
            <w:r w:rsidRPr="002A1927">
              <w:rPr>
                <w:rFonts w:asciiTheme="minorHAnsi" w:hAnsiTheme="minorHAnsi" w:cstheme="minorHAnsi"/>
                <w:i/>
                <w:iCs/>
              </w:rPr>
              <w:t>(B)</w:t>
            </w:r>
            <w:r w:rsidR="00D173B9" w:rsidRPr="002A1927">
              <w:rPr>
                <w:rFonts w:asciiTheme="minorHAnsi" w:hAnsiTheme="minorHAnsi" w:cstheme="minorHAnsi"/>
                <w:i/>
                <w:iCs/>
              </w:rPr>
              <w:t xml:space="preserve"> </w:t>
            </w:r>
            <w:r w:rsidR="00644473" w:rsidRPr="002A1927">
              <w:rPr>
                <w:rFonts w:asciiTheme="minorHAnsi" w:hAnsiTheme="minorHAnsi" w:cstheme="minorHAnsi"/>
                <w:i/>
                <w:iCs/>
              </w:rPr>
              <w:t>-</w:t>
            </w:r>
            <w:r w:rsidR="007C1809" w:rsidRPr="002A1927">
              <w:rPr>
                <w:rFonts w:asciiTheme="minorHAnsi" w:hAnsiTheme="minorHAnsi" w:cstheme="minorHAnsi"/>
                <w:i/>
                <w:iCs/>
              </w:rPr>
              <w:t xml:space="preserve"> </w:t>
            </w:r>
            <w:proofErr w:type="spellStart"/>
            <w:r w:rsidR="00217F45" w:rsidRPr="002A1927">
              <w:rPr>
                <w:rFonts w:asciiTheme="minorHAnsi" w:hAnsiTheme="minorHAnsi" w:cstheme="minorHAnsi"/>
                <w:i/>
                <w:iCs/>
              </w:rPr>
              <w:t>l</w:t>
            </w:r>
            <w:r w:rsidR="007C1809" w:rsidRPr="002A1927">
              <w:rPr>
                <w:rFonts w:asciiTheme="minorHAnsi" w:hAnsiTheme="minorHAnsi" w:cstheme="minorHAnsi"/>
                <w:i/>
                <w:iCs/>
              </w:rPr>
              <w:t>sa</w:t>
            </w:r>
            <w:proofErr w:type="spellEnd"/>
            <w:r w:rsidR="007C1809" w:rsidRPr="002A1927">
              <w:rPr>
                <w:rFonts w:asciiTheme="minorHAnsi" w:hAnsiTheme="minorHAnsi" w:cstheme="minorHAnsi"/>
                <w:i/>
                <w:iCs/>
              </w:rPr>
              <w:t>(E) -</w:t>
            </w:r>
            <w:r w:rsidR="00D173B9" w:rsidRPr="002A1927">
              <w:rPr>
                <w:rFonts w:asciiTheme="minorHAnsi" w:hAnsiTheme="minorHAnsi" w:cstheme="minorHAnsi"/>
                <w:i/>
                <w:iCs/>
              </w:rPr>
              <w:t xml:space="preserve"> </w:t>
            </w:r>
            <w:proofErr w:type="spellStart"/>
            <w:r w:rsidR="00644473" w:rsidRPr="002A1927">
              <w:rPr>
                <w:rFonts w:asciiTheme="minorHAnsi" w:hAnsiTheme="minorHAnsi" w:cstheme="minorHAnsi"/>
                <w:i/>
                <w:iCs/>
              </w:rPr>
              <w:t>tet</w:t>
            </w:r>
            <w:proofErr w:type="spellEnd"/>
            <w:r w:rsidR="001D4EF8" w:rsidRPr="002A1927">
              <w:rPr>
                <w:rFonts w:asciiTheme="minorHAnsi" w:hAnsiTheme="minorHAnsi" w:cstheme="minorHAnsi"/>
                <w:i/>
                <w:iCs/>
              </w:rPr>
              <w:t>(K)</w:t>
            </w:r>
          </w:p>
        </w:tc>
        <w:tc>
          <w:tcPr>
            <w:tcW w:w="1270" w:type="pct"/>
            <w:vAlign w:val="center"/>
          </w:tcPr>
          <w:p w14:paraId="098C6C9C" w14:textId="6DD25914" w:rsidR="00644473" w:rsidRPr="00067A04" w:rsidRDefault="002C3151" w:rsidP="00DB5917">
            <w:pPr>
              <w:jc w:val="center"/>
              <w:rPr>
                <w:rFonts w:asciiTheme="minorHAnsi" w:hAnsiTheme="minorHAnsi" w:cstheme="minorHAnsi"/>
              </w:rPr>
            </w:pPr>
            <w:r>
              <w:rPr>
                <w:rFonts w:asciiTheme="minorHAnsi" w:hAnsiTheme="minorHAnsi" w:cstheme="minorHAnsi"/>
              </w:rPr>
              <w:t>5</w:t>
            </w:r>
          </w:p>
        </w:tc>
        <w:tc>
          <w:tcPr>
            <w:tcW w:w="1303" w:type="pct"/>
            <w:vAlign w:val="center"/>
          </w:tcPr>
          <w:p w14:paraId="6B2F49B4" w14:textId="77777777" w:rsidR="00644473" w:rsidRPr="00067A04" w:rsidRDefault="00644473" w:rsidP="00DB5917">
            <w:pPr>
              <w:jc w:val="center"/>
              <w:rPr>
                <w:rFonts w:asciiTheme="minorHAnsi" w:hAnsiTheme="minorHAnsi" w:cstheme="minorHAnsi"/>
              </w:rPr>
            </w:pPr>
            <w:r w:rsidRPr="00067A04">
              <w:rPr>
                <w:rFonts w:asciiTheme="minorHAnsi" w:hAnsiTheme="minorHAnsi" w:cstheme="minorHAnsi"/>
              </w:rPr>
              <w:t>11</w:t>
            </w:r>
            <w:r>
              <w:rPr>
                <w:rFonts w:asciiTheme="minorHAnsi" w:hAnsiTheme="minorHAnsi" w:cstheme="minorHAnsi"/>
              </w:rPr>
              <w:t xml:space="preserve"> (40.7)</w:t>
            </w:r>
          </w:p>
        </w:tc>
      </w:tr>
      <w:tr w:rsidR="00644473" w:rsidRPr="00ED0C52" w14:paraId="248455F9" w14:textId="77777777" w:rsidTr="1BBF6B17">
        <w:trPr>
          <w:trHeight w:val="481"/>
          <w:jc w:val="center"/>
        </w:trPr>
        <w:tc>
          <w:tcPr>
            <w:tcW w:w="2427" w:type="pct"/>
            <w:vAlign w:val="center"/>
          </w:tcPr>
          <w:p w14:paraId="6AD8F61C" w14:textId="5F2EAF1E" w:rsidR="00644473" w:rsidRPr="002A1927" w:rsidRDefault="00DE44CE" w:rsidP="00DB5917">
            <w:pPr>
              <w:rPr>
                <w:rFonts w:asciiTheme="minorHAnsi" w:hAnsiTheme="minorHAnsi" w:cstheme="minorHAnsi"/>
                <w:i/>
                <w:iCs/>
              </w:rPr>
            </w:pPr>
            <w:proofErr w:type="spellStart"/>
            <w:r w:rsidRPr="002A1927">
              <w:rPr>
                <w:rFonts w:asciiTheme="minorHAnsi" w:hAnsiTheme="minorHAnsi" w:cstheme="minorHAnsi"/>
                <w:i/>
                <w:iCs/>
              </w:rPr>
              <w:t>blaZ</w:t>
            </w:r>
            <w:proofErr w:type="spellEnd"/>
            <w:r w:rsidRPr="002A1927">
              <w:rPr>
                <w:rFonts w:asciiTheme="minorHAnsi" w:hAnsiTheme="minorHAnsi" w:cstheme="minorHAnsi"/>
                <w:i/>
                <w:iCs/>
              </w:rPr>
              <w:t xml:space="preserve"> </w:t>
            </w:r>
            <w:r w:rsidR="00644473" w:rsidRPr="002A1927">
              <w:rPr>
                <w:rFonts w:asciiTheme="minorHAnsi" w:hAnsiTheme="minorHAnsi" w:cstheme="minorHAnsi"/>
                <w:i/>
                <w:iCs/>
              </w:rPr>
              <w:t>-</w:t>
            </w:r>
            <w:r w:rsidRPr="002A1927">
              <w:rPr>
                <w:rFonts w:asciiTheme="minorHAnsi" w:hAnsiTheme="minorHAnsi" w:cstheme="minorHAnsi"/>
                <w:i/>
                <w:iCs/>
              </w:rPr>
              <w:t xml:space="preserve"> </w:t>
            </w:r>
            <w:proofErr w:type="spellStart"/>
            <w:r w:rsidR="002F3AA2" w:rsidRPr="002A1927">
              <w:rPr>
                <w:rFonts w:asciiTheme="minorHAnsi" w:hAnsiTheme="minorHAnsi" w:cstheme="minorHAnsi"/>
                <w:i/>
                <w:iCs/>
              </w:rPr>
              <w:t>l</w:t>
            </w:r>
            <w:r w:rsidR="0033709B" w:rsidRPr="002A1927">
              <w:rPr>
                <w:rFonts w:asciiTheme="minorHAnsi" w:hAnsiTheme="minorHAnsi" w:cstheme="minorHAnsi"/>
                <w:i/>
                <w:iCs/>
              </w:rPr>
              <w:t>nu</w:t>
            </w:r>
            <w:proofErr w:type="spellEnd"/>
            <w:r w:rsidRPr="002A1927">
              <w:rPr>
                <w:rFonts w:asciiTheme="minorHAnsi" w:hAnsiTheme="minorHAnsi" w:cstheme="minorHAnsi"/>
                <w:i/>
                <w:iCs/>
              </w:rPr>
              <w:t>(B)</w:t>
            </w:r>
            <w:r w:rsidR="007C1809" w:rsidRPr="002A1927">
              <w:rPr>
                <w:rFonts w:asciiTheme="minorHAnsi" w:hAnsiTheme="minorHAnsi" w:cstheme="minorHAnsi"/>
                <w:i/>
                <w:iCs/>
              </w:rPr>
              <w:t xml:space="preserve"> - </w:t>
            </w:r>
            <w:proofErr w:type="spellStart"/>
            <w:r w:rsidR="00217F45" w:rsidRPr="002A1927">
              <w:rPr>
                <w:rFonts w:asciiTheme="minorHAnsi" w:hAnsiTheme="minorHAnsi" w:cstheme="minorHAnsi"/>
                <w:i/>
                <w:iCs/>
              </w:rPr>
              <w:t>l</w:t>
            </w:r>
            <w:r w:rsidR="007C1809" w:rsidRPr="002A1927">
              <w:rPr>
                <w:rFonts w:asciiTheme="minorHAnsi" w:hAnsiTheme="minorHAnsi" w:cstheme="minorHAnsi"/>
                <w:i/>
                <w:iCs/>
              </w:rPr>
              <w:t>sa</w:t>
            </w:r>
            <w:proofErr w:type="spellEnd"/>
            <w:r w:rsidR="007C1809" w:rsidRPr="002A1927">
              <w:rPr>
                <w:rFonts w:asciiTheme="minorHAnsi" w:hAnsiTheme="minorHAnsi" w:cstheme="minorHAnsi"/>
                <w:i/>
                <w:iCs/>
              </w:rPr>
              <w:t>(E)</w:t>
            </w:r>
            <w:r w:rsidR="00D173B9" w:rsidRPr="002A1927">
              <w:rPr>
                <w:rFonts w:asciiTheme="minorHAnsi" w:hAnsiTheme="minorHAnsi" w:cstheme="minorHAnsi"/>
                <w:i/>
                <w:iCs/>
              </w:rPr>
              <w:t xml:space="preserve"> </w:t>
            </w:r>
            <w:r w:rsidR="00644473" w:rsidRPr="002A1927">
              <w:rPr>
                <w:rFonts w:asciiTheme="minorHAnsi" w:hAnsiTheme="minorHAnsi" w:cstheme="minorHAnsi"/>
                <w:i/>
                <w:iCs/>
              </w:rPr>
              <w:t>-</w:t>
            </w:r>
            <w:r w:rsidR="00D173B9" w:rsidRPr="002A1927">
              <w:rPr>
                <w:rFonts w:asciiTheme="minorHAnsi" w:hAnsiTheme="minorHAnsi" w:cstheme="minorHAnsi"/>
                <w:i/>
                <w:iCs/>
              </w:rPr>
              <w:t xml:space="preserve"> erm(C) </w:t>
            </w:r>
            <w:r w:rsidR="00644473" w:rsidRPr="002A1927">
              <w:rPr>
                <w:rFonts w:asciiTheme="minorHAnsi" w:hAnsiTheme="minorHAnsi" w:cstheme="minorHAnsi"/>
                <w:i/>
                <w:iCs/>
              </w:rPr>
              <w:t>-</w:t>
            </w:r>
            <w:r w:rsidR="001D4EF8" w:rsidRPr="002A1927">
              <w:rPr>
                <w:rFonts w:asciiTheme="minorHAnsi" w:hAnsiTheme="minorHAnsi" w:cstheme="minorHAnsi"/>
                <w:i/>
                <w:iCs/>
              </w:rPr>
              <w:t xml:space="preserve"> </w:t>
            </w:r>
            <w:proofErr w:type="spellStart"/>
            <w:r w:rsidR="001D4EF8" w:rsidRPr="002A1927">
              <w:rPr>
                <w:rFonts w:asciiTheme="minorHAnsi" w:hAnsiTheme="minorHAnsi" w:cstheme="minorHAnsi"/>
                <w:i/>
                <w:iCs/>
              </w:rPr>
              <w:t>tet</w:t>
            </w:r>
            <w:proofErr w:type="spellEnd"/>
            <w:r w:rsidR="001D4EF8" w:rsidRPr="002A1927">
              <w:rPr>
                <w:rFonts w:asciiTheme="minorHAnsi" w:hAnsiTheme="minorHAnsi" w:cstheme="minorHAnsi"/>
                <w:i/>
                <w:iCs/>
              </w:rPr>
              <w:t>(K)</w:t>
            </w:r>
          </w:p>
        </w:tc>
        <w:tc>
          <w:tcPr>
            <w:tcW w:w="1270" w:type="pct"/>
            <w:vAlign w:val="center"/>
          </w:tcPr>
          <w:p w14:paraId="20668AE8" w14:textId="37AECA81" w:rsidR="00644473" w:rsidRPr="00912624" w:rsidRDefault="002C3151" w:rsidP="00DB5917">
            <w:pPr>
              <w:jc w:val="center"/>
              <w:rPr>
                <w:rFonts w:asciiTheme="minorHAnsi" w:hAnsiTheme="minorHAnsi" w:cstheme="minorHAnsi"/>
              </w:rPr>
            </w:pPr>
            <w:r>
              <w:rPr>
                <w:rFonts w:asciiTheme="minorHAnsi" w:hAnsiTheme="minorHAnsi" w:cstheme="minorHAnsi"/>
              </w:rPr>
              <w:t>6</w:t>
            </w:r>
          </w:p>
        </w:tc>
        <w:tc>
          <w:tcPr>
            <w:tcW w:w="1303" w:type="pct"/>
            <w:vAlign w:val="center"/>
          </w:tcPr>
          <w:p w14:paraId="18EBAE24" w14:textId="5CF63303" w:rsidR="00644473" w:rsidRPr="00912624" w:rsidRDefault="00644473" w:rsidP="00DB5917">
            <w:pPr>
              <w:jc w:val="center"/>
              <w:rPr>
                <w:rFonts w:asciiTheme="minorHAnsi" w:hAnsiTheme="minorHAnsi" w:cstheme="minorHAnsi"/>
              </w:rPr>
            </w:pPr>
            <w:r w:rsidRPr="00912624">
              <w:rPr>
                <w:rFonts w:asciiTheme="minorHAnsi" w:hAnsiTheme="minorHAnsi" w:cstheme="minorHAnsi"/>
              </w:rPr>
              <w:t>1</w:t>
            </w:r>
            <w:r w:rsidR="00AA08FE" w:rsidRPr="00912624">
              <w:rPr>
                <w:rFonts w:asciiTheme="minorHAnsi" w:hAnsiTheme="minorHAnsi" w:cstheme="minorHAnsi"/>
              </w:rPr>
              <w:t>1</w:t>
            </w:r>
            <w:r w:rsidRPr="00912624">
              <w:rPr>
                <w:rFonts w:asciiTheme="minorHAnsi" w:hAnsiTheme="minorHAnsi" w:cstheme="minorHAnsi"/>
              </w:rPr>
              <w:t xml:space="preserve"> (4</w:t>
            </w:r>
            <w:r w:rsidR="00912624" w:rsidRPr="00912624">
              <w:rPr>
                <w:rFonts w:asciiTheme="minorHAnsi" w:hAnsiTheme="minorHAnsi" w:cstheme="minorHAnsi"/>
              </w:rPr>
              <w:t>0</w:t>
            </w:r>
            <w:r w:rsidRPr="00912624">
              <w:rPr>
                <w:rFonts w:asciiTheme="minorHAnsi" w:hAnsiTheme="minorHAnsi" w:cstheme="minorHAnsi"/>
              </w:rPr>
              <w:t>.</w:t>
            </w:r>
            <w:r w:rsidR="00912624" w:rsidRPr="00912624">
              <w:rPr>
                <w:rFonts w:asciiTheme="minorHAnsi" w:hAnsiTheme="minorHAnsi" w:cstheme="minorHAnsi"/>
              </w:rPr>
              <w:t>7</w:t>
            </w:r>
            <w:r w:rsidRPr="00912624">
              <w:rPr>
                <w:rFonts w:asciiTheme="minorHAnsi" w:hAnsiTheme="minorHAnsi" w:cstheme="minorHAnsi"/>
              </w:rPr>
              <w:t>)</w:t>
            </w:r>
          </w:p>
        </w:tc>
      </w:tr>
      <w:tr w:rsidR="009504DB" w:rsidRPr="00ED0C52" w14:paraId="74DE70E2" w14:textId="77777777" w:rsidTr="1BBF6B17">
        <w:trPr>
          <w:trHeight w:val="481"/>
          <w:jc w:val="center"/>
        </w:trPr>
        <w:tc>
          <w:tcPr>
            <w:tcW w:w="2427" w:type="pct"/>
            <w:vAlign w:val="center"/>
          </w:tcPr>
          <w:p w14:paraId="22F49906" w14:textId="48E1B201" w:rsidR="009504DB" w:rsidRPr="002A1927" w:rsidRDefault="009504DB" w:rsidP="009504DB">
            <w:pPr>
              <w:rPr>
                <w:rFonts w:cstheme="minorHAnsi"/>
                <w:i/>
                <w:iCs/>
              </w:rPr>
            </w:pPr>
            <w:proofErr w:type="spellStart"/>
            <w:r w:rsidRPr="002A1927">
              <w:rPr>
                <w:rFonts w:asciiTheme="minorHAnsi" w:hAnsiTheme="minorHAnsi" w:cstheme="minorHAnsi"/>
                <w:i/>
                <w:iCs/>
              </w:rPr>
              <w:t>blaZ</w:t>
            </w:r>
            <w:proofErr w:type="spellEnd"/>
            <w:r w:rsidR="00990C66" w:rsidRPr="002A1927">
              <w:rPr>
                <w:rFonts w:asciiTheme="minorHAnsi" w:hAnsiTheme="minorHAnsi" w:cstheme="minorHAnsi"/>
                <w:i/>
                <w:iCs/>
              </w:rPr>
              <w:t xml:space="preserve"> </w:t>
            </w:r>
            <w:r w:rsidRPr="002A1927">
              <w:rPr>
                <w:rFonts w:asciiTheme="minorHAnsi" w:hAnsiTheme="minorHAnsi" w:cstheme="minorHAnsi"/>
                <w:i/>
                <w:iCs/>
              </w:rPr>
              <w:t xml:space="preserve">- </w:t>
            </w:r>
            <w:proofErr w:type="spellStart"/>
            <w:r w:rsidR="002F3AA2" w:rsidRPr="002A1927">
              <w:rPr>
                <w:rFonts w:asciiTheme="minorHAnsi" w:hAnsiTheme="minorHAnsi" w:cstheme="minorHAnsi"/>
                <w:i/>
                <w:iCs/>
              </w:rPr>
              <w:t>l</w:t>
            </w:r>
            <w:r w:rsidRPr="002A1927">
              <w:rPr>
                <w:rFonts w:asciiTheme="minorHAnsi" w:hAnsiTheme="minorHAnsi" w:cstheme="minorHAnsi"/>
                <w:i/>
                <w:iCs/>
              </w:rPr>
              <w:t>nu</w:t>
            </w:r>
            <w:proofErr w:type="spellEnd"/>
            <w:r w:rsidRPr="002A1927">
              <w:rPr>
                <w:rFonts w:asciiTheme="minorHAnsi" w:hAnsiTheme="minorHAnsi" w:cstheme="minorHAnsi"/>
                <w:i/>
                <w:iCs/>
              </w:rPr>
              <w:t xml:space="preserve">(B) - </w:t>
            </w:r>
            <w:proofErr w:type="spellStart"/>
            <w:r w:rsidR="00217F45" w:rsidRPr="002A1927">
              <w:rPr>
                <w:rFonts w:asciiTheme="minorHAnsi" w:hAnsiTheme="minorHAnsi" w:cstheme="minorHAnsi"/>
                <w:i/>
                <w:iCs/>
              </w:rPr>
              <w:t>l</w:t>
            </w:r>
            <w:r w:rsidRPr="002A1927">
              <w:rPr>
                <w:rFonts w:asciiTheme="minorHAnsi" w:hAnsiTheme="minorHAnsi" w:cstheme="minorHAnsi"/>
                <w:i/>
                <w:iCs/>
              </w:rPr>
              <w:t>sa</w:t>
            </w:r>
            <w:proofErr w:type="spellEnd"/>
            <w:r w:rsidRPr="002A1927">
              <w:rPr>
                <w:rFonts w:asciiTheme="minorHAnsi" w:hAnsiTheme="minorHAnsi" w:cstheme="minorHAnsi"/>
                <w:i/>
                <w:iCs/>
              </w:rPr>
              <w:t>(E) - erm(</w:t>
            </w:r>
            <w:r w:rsidR="00AF7DCF" w:rsidRPr="002A1927">
              <w:rPr>
                <w:rFonts w:asciiTheme="minorHAnsi" w:hAnsiTheme="minorHAnsi" w:cstheme="minorHAnsi"/>
                <w:i/>
                <w:iCs/>
              </w:rPr>
              <w:t>T</w:t>
            </w:r>
            <w:r w:rsidRPr="002A1927">
              <w:rPr>
                <w:rFonts w:asciiTheme="minorHAnsi" w:hAnsiTheme="minorHAnsi" w:cstheme="minorHAnsi"/>
                <w:i/>
                <w:iCs/>
              </w:rPr>
              <w:t xml:space="preserve">) - </w:t>
            </w:r>
            <w:proofErr w:type="spellStart"/>
            <w:r w:rsidRPr="002A1927">
              <w:rPr>
                <w:rFonts w:asciiTheme="minorHAnsi" w:hAnsiTheme="minorHAnsi" w:cstheme="minorHAnsi"/>
                <w:i/>
                <w:iCs/>
              </w:rPr>
              <w:t>tet</w:t>
            </w:r>
            <w:proofErr w:type="spellEnd"/>
            <w:r w:rsidRPr="002A1927">
              <w:rPr>
                <w:rFonts w:asciiTheme="minorHAnsi" w:hAnsiTheme="minorHAnsi" w:cstheme="minorHAnsi"/>
                <w:i/>
                <w:iCs/>
              </w:rPr>
              <w:t>(</w:t>
            </w:r>
            <w:r w:rsidR="00800244" w:rsidRPr="002A1927">
              <w:rPr>
                <w:rFonts w:asciiTheme="minorHAnsi" w:hAnsiTheme="minorHAnsi" w:cstheme="minorHAnsi"/>
                <w:i/>
                <w:iCs/>
              </w:rPr>
              <w:t>L</w:t>
            </w:r>
            <w:r w:rsidRPr="002A1927">
              <w:rPr>
                <w:rFonts w:asciiTheme="minorHAnsi" w:hAnsiTheme="minorHAnsi" w:cstheme="minorHAnsi"/>
                <w:i/>
                <w:iCs/>
              </w:rPr>
              <w:t>)</w:t>
            </w:r>
          </w:p>
        </w:tc>
        <w:tc>
          <w:tcPr>
            <w:tcW w:w="1270" w:type="pct"/>
            <w:vAlign w:val="center"/>
          </w:tcPr>
          <w:p w14:paraId="1C9F45E3" w14:textId="34089236" w:rsidR="009504DB" w:rsidRPr="00B32C9E" w:rsidRDefault="002C3151" w:rsidP="009504DB">
            <w:pPr>
              <w:jc w:val="center"/>
              <w:rPr>
                <w:rFonts w:asciiTheme="minorHAnsi" w:hAnsiTheme="minorHAnsi" w:cstheme="minorHAnsi"/>
              </w:rPr>
            </w:pPr>
            <w:r>
              <w:rPr>
                <w:rFonts w:asciiTheme="minorHAnsi" w:hAnsiTheme="minorHAnsi" w:cstheme="minorHAnsi"/>
              </w:rPr>
              <w:t>6</w:t>
            </w:r>
          </w:p>
        </w:tc>
        <w:tc>
          <w:tcPr>
            <w:tcW w:w="1303" w:type="pct"/>
            <w:vAlign w:val="center"/>
          </w:tcPr>
          <w:p w14:paraId="2548CC9D" w14:textId="38135717" w:rsidR="009504DB" w:rsidRPr="00AF7DCF" w:rsidRDefault="009504DB" w:rsidP="009504DB">
            <w:pPr>
              <w:jc w:val="center"/>
              <w:rPr>
                <w:rFonts w:cstheme="minorHAnsi"/>
              </w:rPr>
            </w:pPr>
            <w:r w:rsidRPr="00AF7DCF">
              <w:rPr>
                <w:rFonts w:asciiTheme="minorHAnsi" w:hAnsiTheme="minorHAnsi" w:cstheme="minorHAnsi"/>
              </w:rPr>
              <w:t>1 (3.7)</w:t>
            </w:r>
          </w:p>
        </w:tc>
      </w:tr>
      <w:tr w:rsidR="009504DB" w:rsidRPr="00EB3CC6" w14:paraId="24E6DC29" w14:textId="77777777" w:rsidTr="1BBF6B17">
        <w:trPr>
          <w:trHeight w:val="481"/>
          <w:jc w:val="center"/>
        </w:trPr>
        <w:tc>
          <w:tcPr>
            <w:tcW w:w="2427" w:type="pct"/>
            <w:tcBorders>
              <w:bottom w:val="single" w:sz="4" w:space="0" w:color="auto"/>
            </w:tcBorders>
            <w:vAlign w:val="center"/>
          </w:tcPr>
          <w:p w14:paraId="03E30275" w14:textId="6DEB62CF" w:rsidR="009504DB" w:rsidRPr="002A1927" w:rsidRDefault="009504DB" w:rsidP="009504DB">
            <w:pPr>
              <w:rPr>
                <w:rFonts w:asciiTheme="minorHAnsi" w:hAnsiTheme="minorHAnsi" w:cstheme="minorHAnsi"/>
                <w:i/>
                <w:iCs/>
              </w:rPr>
            </w:pPr>
            <w:proofErr w:type="spellStart"/>
            <w:r w:rsidRPr="002A1927">
              <w:rPr>
                <w:rFonts w:asciiTheme="minorHAnsi" w:hAnsiTheme="minorHAnsi" w:cstheme="minorHAnsi"/>
                <w:i/>
                <w:iCs/>
              </w:rPr>
              <w:t>blaZ</w:t>
            </w:r>
            <w:proofErr w:type="spellEnd"/>
            <w:r w:rsidRPr="002A1927">
              <w:rPr>
                <w:rFonts w:asciiTheme="minorHAnsi" w:hAnsiTheme="minorHAnsi" w:cstheme="minorHAnsi"/>
                <w:i/>
                <w:iCs/>
              </w:rPr>
              <w:t xml:space="preserve"> – </w:t>
            </w:r>
            <w:proofErr w:type="spellStart"/>
            <w:r w:rsidRPr="002A1927">
              <w:rPr>
                <w:rFonts w:asciiTheme="minorHAnsi" w:hAnsiTheme="minorHAnsi" w:cstheme="minorHAnsi"/>
                <w:i/>
                <w:iCs/>
              </w:rPr>
              <w:t>dfrG</w:t>
            </w:r>
            <w:proofErr w:type="spellEnd"/>
            <w:r w:rsidRPr="002A1927">
              <w:rPr>
                <w:rFonts w:asciiTheme="minorHAnsi" w:hAnsiTheme="minorHAnsi" w:cstheme="minorHAnsi"/>
                <w:i/>
                <w:iCs/>
              </w:rPr>
              <w:t xml:space="preserve"> - </w:t>
            </w:r>
            <w:proofErr w:type="spellStart"/>
            <w:r w:rsidR="00217F45" w:rsidRPr="002A1927">
              <w:rPr>
                <w:rFonts w:asciiTheme="minorHAnsi" w:hAnsiTheme="minorHAnsi" w:cstheme="minorHAnsi"/>
                <w:i/>
                <w:iCs/>
              </w:rPr>
              <w:t>l</w:t>
            </w:r>
            <w:r w:rsidRPr="002A1927">
              <w:rPr>
                <w:rFonts w:asciiTheme="minorHAnsi" w:hAnsiTheme="minorHAnsi" w:cstheme="minorHAnsi"/>
                <w:i/>
                <w:iCs/>
              </w:rPr>
              <w:t>nu</w:t>
            </w:r>
            <w:proofErr w:type="spellEnd"/>
            <w:r w:rsidRPr="002A1927">
              <w:rPr>
                <w:rFonts w:asciiTheme="minorHAnsi" w:hAnsiTheme="minorHAnsi" w:cstheme="minorHAnsi"/>
                <w:i/>
                <w:iCs/>
              </w:rPr>
              <w:t xml:space="preserve">(B) - </w:t>
            </w:r>
            <w:proofErr w:type="spellStart"/>
            <w:r w:rsidR="004466B4" w:rsidRPr="002A1927">
              <w:rPr>
                <w:rFonts w:asciiTheme="minorHAnsi" w:hAnsiTheme="minorHAnsi" w:cstheme="minorHAnsi"/>
                <w:i/>
                <w:iCs/>
              </w:rPr>
              <w:t>l</w:t>
            </w:r>
            <w:r w:rsidRPr="002A1927">
              <w:rPr>
                <w:rFonts w:asciiTheme="minorHAnsi" w:hAnsiTheme="minorHAnsi" w:cstheme="minorHAnsi"/>
                <w:i/>
                <w:iCs/>
              </w:rPr>
              <w:t>sa</w:t>
            </w:r>
            <w:proofErr w:type="spellEnd"/>
            <w:r w:rsidRPr="002A1927">
              <w:rPr>
                <w:rFonts w:asciiTheme="minorHAnsi" w:hAnsiTheme="minorHAnsi" w:cstheme="minorHAnsi"/>
                <w:i/>
                <w:iCs/>
              </w:rPr>
              <w:t xml:space="preserve">(E) - erm(C) - </w:t>
            </w:r>
            <w:proofErr w:type="spellStart"/>
            <w:r w:rsidRPr="002A1927">
              <w:rPr>
                <w:rFonts w:asciiTheme="minorHAnsi" w:hAnsiTheme="minorHAnsi" w:cstheme="minorHAnsi"/>
                <w:i/>
                <w:iCs/>
              </w:rPr>
              <w:t>tet</w:t>
            </w:r>
            <w:proofErr w:type="spellEnd"/>
            <w:r w:rsidRPr="002A1927">
              <w:rPr>
                <w:rFonts w:asciiTheme="minorHAnsi" w:hAnsiTheme="minorHAnsi" w:cstheme="minorHAnsi"/>
                <w:i/>
                <w:iCs/>
              </w:rPr>
              <w:t>(K)</w:t>
            </w:r>
          </w:p>
        </w:tc>
        <w:tc>
          <w:tcPr>
            <w:tcW w:w="1270" w:type="pct"/>
            <w:tcBorders>
              <w:bottom w:val="single" w:sz="4" w:space="0" w:color="auto"/>
            </w:tcBorders>
            <w:vAlign w:val="center"/>
          </w:tcPr>
          <w:p w14:paraId="36E2038B" w14:textId="2B439AD2" w:rsidR="009504DB" w:rsidRPr="007E21B0" w:rsidRDefault="002C3151" w:rsidP="009504DB">
            <w:pPr>
              <w:jc w:val="center"/>
              <w:rPr>
                <w:rFonts w:asciiTheme="minorHAnsi" w:hAnsiTheme="minorHAnsi" w:cstheme="minorHAnsi"/>
              </w:rPr>
            </w:pPr>
            <w:r>
              <w:rPr>
                <w:rFonts w:asciiTheme="minorHAnsi" w:hAnsiTheme="minorHAnsi" w:cstheme="minorHAnsi"/>
              </w:rPr>
              <w:t>7</w:t>
            </w:r>
          </w:p>
        </w:tc>
        <w:tc>
          <w:tcPr>
            <w:tcW w:w="1303" w:type="pct"/>
            <w:tcBorders>
              <w:bottom w:val="single" w:sz="4" w:space="0" w:color="auto"/>
            </w:tcBorders>
            <w:vAlign w:val="center"/>
          </w:tcPr>
          <w:p w14:paraId="17AEB873" w14:textId="77777777" w:rsidR="009504DB" w:rsidRPr="007E21B0" w:rsidRDefault="009504DB" w:rsidP="00252224">
            <w:pPr>
              <w:keepNext/>
              <w:jc w:val="center"/>
              <w:rPr>
                <w:rFonts w:asciiTheme="minorHAnsi" w:hAnsiTheme="minorHAnsi" w:cstheme="minorHAnsi"/>
              </w:rPr>
            </w:pPr>
            <w:r w:rsidRPr="007E21B0">
              <w:rPr>
                <w:rFonts w:asciiTheme="minorHAnsi" w:hAnsiTheme="minorHAnsi" w:cstheme="minorHAnsi"/>
              </w:rPr>
              <w:t>1 (3.7)</w:t>
            </w:r>
          </w:p>
        </w:tc>
      </w:tr>
    </w:tbl>
    <w:p w14:paraId="4D5E6367" w14:textId="591D45C6" w:rsidR="00644473" w:rsidRPr="002A1927" w:rsidRDefault="00DF185D" w:rsidP="00252224">
      <w:pPr>
        <w:pStyle w:val="Caption"/>
        <w:rPr>
          <w:i w:val="0"/>
          <w:iCs w:val="0"/>
          <w:color w:val="auto"/>
        </w:rPr>
      </w:pPr>
      <w:r w:rsidRPr="002A1927">
        <w:rPr>
          <w:i w:val="0"/>
          <w:iCs w:val="0"/>
          <w:color w:val="auto"/>
        </w:rPr>
        <w:t xml:space="preserve">Antimicrobial class resistance conveyed by </w:t>
      </w:r>
      <w:r w:rsidR="00F31444" w:rsidRPr="002A1927">
        <w:rPr>
          <w:i w:val="0"/>
          <w:iCs w:val="0"/>
          <w:color w:val="auto"/>
        </w:rPr>
        <w:t xml:space="preserve">each </w:t>
      </w:r>
      <w:r w:rsidRPr="002A1927">
        <w:rPr>
          <w:i w:val="0"/>
          <w:iCs w:val="0"/>
          <w:color w:val="auto"/>
        </w:rPr>
        <w:t xml:space="preserve">resistance gene: </w:t>
      </w:r>
      <w:proofErr w:type="spellStart"/>
      <w:r w:rsidR="00D53262" w:rsidRPr="002A1927">
        <w:rPr>
          <w:rFonts w:cstheme="minorHAnsi"/>
          <w:color w:val="auto"/>
        </w:rPr>
        <w:t>blaZ</w:t>
      </w:r>
      <w:proofErr w:type="spellEnd"/>
      <w:r w:rsidR="00A92309" w:rsidRPr="002A1927">
        <w:rPr>
          <w:rFonts w:cstheme="minorHAnsi"/>
          <w:color w:val="auto"/>
        </w:rPr>
        <w:t xml:space="preserve"> </w:t>
      </w:r>
      <w:r w:rsidR="00A92309" w:rsidRPr="002A1927">
        <w:rPr>
          <w:rFonts w:cstheme="minorHAnsi"/>
          <w:i w:val="0"/>
          <w:iCs w:val="0"/>
          <w:color w:val="auto"/>
        </w:rPr>
        <w:t xml:space="preserve">= beta-lactam; </w:t>
      </w:r>
      <w:proofErr w:type="spellStart"/>
      <w:r w:rsidR="00AB0FF8" w:rsidRPr="002A1927">
        <w:rPr>
          <w:rFonts w:cstheme="minorHAnsi"/>
          <w:color w:val="auto"/>
        </w:rPr>
        <w:t>l</w:t>
      </w:r>
      <w:r w:rsidR="0028348F" w:rsidRPr="002A1927">
        <w:rPr>
          <w:rFonts w:cstheme="minorHAnsi"/>
          <w:color w:val="auto"/>
        </w:rPr>
        <w:t>nu</w:t>
      </w:r>
      <w:proofErr w:type="spellEnd"/>
      <w:r w:rsidR="0028348F" w:rsidRPr="002A1927">
        <w:rPr>
          <w:rFonts w:cstheme="minorHAnsi"/>
          <w:color w:val="auto"/>
        </w:rPr>
        <w:t xml:space="preserve">(B) </w:t>
      </w:r>
      <w:r w:rsidR="0028348F" w:rsidRPr="002A1927">
        <w:rPr>
          <w:rFonts w:cstheme="minorHAnsi"/>
          <w:i w:val="0"/>
          <w:iCs w:val="0"/>
          <w:color w:val="auto"/>
        </w:rPr>
        <w:t xml:space="preserve">= </w:t>
      </w:r>
      <w:proofErr w:type="spellStart"/>
      <w:r w:rsidR="00AB0FF8" w:rsidRPr="002A1927">
        <w:rPr>
          <w:rFonts w:cstheme="minorHAnsi"/>
          <w:i w:val="0"/>
          <w:iCs w:val="0"/>
          <w:color w:val="auto"/>
        </w:rPr>
        <w:t>lincosamide</w:t>
      </w:r>
      <w:proofErr w:type="spellEnd"/>
      <w:r w:rsidR="00AB0FF8" w:rsidRPr="002A1927">
        <w:rPr>
          <w:rFonts w:cstheme="minorHAnsi"/>
          <w:i w:val="0"/>
          <w:iCs w:val="0"/>
          <w:color w:val="auto"/>
        </w:rPr>
        <w:t xml:space="preserve">; </w:t>
      </w:r>
      <w:proofErr w:type="spellStart"/>
      <w:r w:rsidR="003D0113" w:rsidRPr="002A1927">
        <w:rPr>
          <w:rFonts w:cstheme="minorHAnsi"/>
          <w:color w:val="auto"/>
        </w:rPr>
        <w:t>lsa</w:t>
      </w:r>
      <w:proofErr w:type="spellEnd"/>
      <w:r w:rsidR="003D0113" w:rsidRPr="002A1927">
        <w:rPr>
          <w:rFonts w:cstheme="minorHAnsi"/>
          <w:color w:val="auto"/>
        </w:rPr>
        <w:t>(E)</w:t>
      </w:r>
      <w:r w:rsidR="003D0113" w:rsidRPr="002A1927">
        <w:rPr>
          <w:rFonts w:cstheme="minorHAnsi"/>
          <w:i w:val="0"/>
          <w:iCs w:val="0"/>
          <w:color w:val="auto"/>
        </w:rPr>
        <w:t xml:space="preserve"> = pleuromutilin, streptogramin</w:t>
      </w:r>
      <w:r w:rsidR="00D478B7" w:rsidRPr="002A1927">
        <w:rPr>
          <w:rFonts w:cstheme="minorHAnsi"/>
          <w:i w:val="0"/>
          <w:iCs w:val="0"/>
          <w:color w:val="auto"/>
        </w:rPr>
        <w:t>,</w:t>
      </w:r>
      <w:r w:rsidR="003D0113" w:rsidRPr="002A1927">
        <w:rPr>
          <w:rFonts w:cstheme="minorHAnsi"/>
          <w:i w:val="0"/>
          <w:iCs w:val="0"/>
          <w:color w:val="auto"/>
        </w:rPr>
        <w:t xml:space="preserve"> </w:t>
      </w:r>
      <w:proofErr w:type="spellStart"/>
      <w:r w:rsidR="003D0113" w:rsidRPr="002A1927">
        <w:rPr>
          <w:rFonts w:cstheme="minorHAnsi"/>
          <w:i w:val="0"/>
          <w:iCs w:val="0"/>
          <w:color w:val="auto"/>
        </w:rPr>
        <w:t>lincosamide</w:t>
      </w:r>
      <w:proofErr w:type="spellEnd"/>
      <w:r w:rsidR="003D0113" w:rsidRPr="002A1927">
        <w:rPr>
          <w:rFonts w:cstheme="minorHAnsi"/>
          <w:i w:val="0"/>
          <w:iCs w:val="0"/>
          <w:color w:val="auto"/>
        </w:rPr>
        <w:t xml:space="preserve">; </w:t>
      </w:r>
      <w:proofErr w:type="spellStart"/>
      <w:r w:rsidR="00F94E2F" w:rsidRPr="002A1927">
        <w:rPr>
          <w:rFonts w:cstheme="minorHAnsi"/>
          <w:color w:val="auto"/>
        </w:rPr>
        <w:t>tet</w:t>
      </w:r>
      <w:proofErr w:type="spellEnd"/>
      <w:r w:rsidR="00F94E2F" w:rsidRPr="002A1927">
        <w:rPr>
          <w:rFonts w:cstheme="minorHAnsi"/>
          <w:color w:val="auto"/>
        </w:rPr>
        <w:t>(K)</w:t>
      </w:r>
      <w:r w:rsidR="00643A8E" w:rsidRPr="002A1927">
        <w:rPr>
          <w:rFonts w:cstheme="minorHAnsi"/>
          <w:i w:val="0"/>
          <w:iCs w:val="0"/>
          <w:color w:val="auto"/>
        </w:rPr>
        <w:t xml:space="preserve"> and </w:t>
      </w:r>
      <w:proofErr w:type="spellStart"/>
      <w:r w:rsidR="00643A8E" w:rsidRPr="002A1927">
        <w:rPr>
          <w:rFonts w:cstheme="minorHAnsi"/>
          <w:color w:val="auto"/>
        </w:rPr>
        <w:t>tet</w:t>
      </w:r>
      <w:proofErr w:type="spellEnd"/>
      <w:r w:rsidR="00643A8E" w:rsidRPr="002A1927">
        <w:rPr>
          <w:rFonts w:cstheme="minorHAnsi"/>
          <w:color w:val="auto"/>
        </w:rPr>
        <w:t>(L)</w:t>
      </w:r>
      <w:r w:rsidR="00F94E2F" w:rsidRPr="002A1927">
        <w:rPr>
          <w:rFonts w:cstheme="minorHAnsi"/>
          <w:i w:val="0"/>
          <w:iCs w:val="0"/>
          <w:color w:val="auto"/>
        </w:rPr>
        <w:t xml:space="preserve"> = tetracycline; </w:t>
      </w:r>
      <w:r w:rsidR="00F94E2F" w:rsidRPr="002A1927">
        <w:rPr>
          <w:rFonts w:cstheme="minorHAnsi"/>
          <w:color w:val="auto"/>
        </w:rPr>
        <w:t>erm(C)</w:t>
      </w:r>
      <w:r w:rsidR="00643A8E" w:rsidRPr="002A1927">
        <w:rPr>
          <w:rFonts w:cstheme="minorHAnsi"/>
          <w:i w:val="0"/>
          <w:iCs w:val="0"/>
          <w:color w:val="auto"/>
        </w:rPr>
        <w:t xml:space="preserve"> and </w:t>
      </w:r>
      <w:r w:rsidR="00643A8E" w:rsidRPr="002A1927">
        <w:rPr>
          <w:rFonts w:cstheme="minorHAnsi"/>
          <w:color w:val="auto"/>
        </w:rPr>
        <w:t>erm(T)</w:t>
      </w:r>
      <w:r w:rsidR="00F94E2F" w:rsidRPr="002A1927">
        <w:rPr>
          <w:rFonts w:cstheme="minorHAnsi"/>
          <w:color w:val="auto"/>
        </w:rPr>
        <w:t xml:space="preserve"> </w:t>
      </w:r>
      <w:r w:rsidR="00F94E2F" w:rsidRPr="002A1927">
        <w:rPr>
          <w:rFonts w:cstheme="minorHAnsi"/>
          <w:i w:val="0"/>
          <w:iCs w:val="0"/>
          <w:color w:val="auto"/>
        </w:rPr>
        <w:t xml:space="preserve">= </w:t>
      </w:r>
      <w:r w:rsidR="00D478B7" w:rsidRPr="002A1927">
        <w:rPr>
          <w:rFonts w:cstheme="minorHAnsi"/>
          <w:i w:val="0"/>
          <w:iCs w:val="0"/>
          <w:color w:val="auto"/>
        </w:rPr>
        <w:t xml:space="preserve">streptogramin, </w:t>
      </w:r>
      <w:proofErr w:type="spellStart"/>
      <w:r w:rsidR="00D478B7" w:rsidRPr="002A1927">
        <w:rPr>
          <w:rFonts w:cstheme="minorHAnsi"/>
          <w:i w:val="0"/>
          <w:iCs w:val="0"/>
          <w:color w:val="auto"/>
        </w:rPr>
        <w:t>lincosamide</w:t>
      </w:r>
      <w:proofErr w:type="spellEnd"/>
      <w:r w:rsidR="00D478B7" w:rsidRPr="002A1927">
        <w:rPr>
          <w:rFonts w:cstheme="minorHAnsi"/>
          <w:i w:val="0"/>
          <w:iCs w:val="0"/>
          <w:color w:val="auto"/>
        </w:rPr>
        <w:t>, macrolide</w:t>
      </w:r>
      <w:r w:rsidR="00643A8E" w:rsidRPr="002A1927">
        <w:rPr>
          <w:rFonts w:cstheme="minorHAnsi"/>
          <w:i w:val="0"/>
          <w:iCs w:val="0"/>
          <w:color w:val="auto"/>
        </w:rPr>
        <w:t>;</w:t>
      </w:r>
      <w:r w:rsidR="000D4E43" w:rsidRPr="002A1927">
        <w:rPr>
          <w:rFonts w:cstheme="minorHAnsi"/>
          <w:i w:val="0"/>
          <w:iCs w:val="0"/>
          <w:color w:val="auto"/>
        </w:rPr>
        <w:t xml:space="preserve"> </w:t>
      </w:r>
      <w:proofErr w:type="spellStart"/>
      <w:r w:rsidR="000D4E43" w:rsidRPr="002A1927">
        <w:rPr>
          <w:rFonts w:cstheme="minorHAnsi"/>
          <w:color w:val="auto"/>
        </w:rPr>
        <w:t>dfrG</w:t>
      </w:r>
      <w:proofErr w:type="spellEnd"/>
      <w:r w:rsidR="000D4E43" w:rsidRPr="002A1927">
        <w:rPr>
          <w:rFonts w:cstheme="minorHAnsi"/>
          <w:i w:val="0"/>
          <w:iCs w:val="0"/>
          <w:color w:val="auto"/>
        </w:rPr>
        <w:t xml:space="preserve"> = </w:t>
      </w:r>
      <w:r w:rsidR="008E080F">
        <w:rPr>
          <w:rFonts w:cstheme="minorHAnsi"/>
          <w:i w:val="0"/>
          <w:iCs w:val="0"/>
          <w:color w:val="auto"/>
        </w:rPr>
        <w:t>diaminopy</w:t>
      </w:r>
      <w:r w:rsidR="009C432E">
        <w:rPr>
          <w:rFonts w:cstheme="minorHAnsi"/>
          <w:i w:val="0"/>
          <w:iCs w:val="0"/>
          <w:color w:val="auto"/>
        </w:rPr>
        <w:t>rimi</w:t>
      </w:r>
      <w:r w:rsidR="00336D6D">
        <w:rPr>
          <w:rFonts w:cstheme="minorHAnsi"/>
          <w:i w:val="0"/>
          <w:iCs w:val="0"/>
          <w:color w:val="auto"/>
        </w:rPr>
        <w:t>dine</w:t>
      </w:r>
      <w:r w:rsidR="00BB3363">
        <w:rPr>
          <w:rFonts w:cstheme="minorHAnsi"/>
          <w:i w:val="0"/>
          <w:iCs w:val="0"/>
          <w:color w:val="auto"/>
        </w:rPr>
        <w:t xml:space="preserve"> </w:t>
      </w:r>
      <w:r w:rsidR="00376F0F">
        <w:rPr>
          <w:rFonts w:cstheme="minorHAnsi"/>
          <w:i w:val="0"/>
          <w:iCs w:val="0"/>
          <w:noProof/>
          <w:color w:val="auto"/>
        </w:rPr>
        <w:t>[</w:t>
      </w:r>
      <w:r w:rsidR="00311B84">
        <w:rPr>
          <w:rFonts w:cstheme="minorHAnsi"/>
          <w:i w:val="0"/>
          <w:iCs w:val="0"/>
          <w:noProof/>
          <w:color w:val="auto"/>
        </w:rPr>
        <w:t>11</w:t>
      </w:r>
      <w:r w:rsidR="00376F0F">
        <w:rPr>
          <w:rFonts w:cstheme="minorHAnsi"/>
          <w:i w:val="0"/>
          <w:iCs w:val="0"/>
          <w:noProof/>
          <w:color w:val="auto"/>
        </w:rPr>
        <w:t>]</w:t>
      </w:r>
      <w:r w:rsidR="00BB3363">
        <w:rPr>
          <w:rFonts w:cstheme="minorHAnsi"/>
          <w:i w:val="0"/>
          <w:iCs w:val="0"/>
          <w:color w:val="auto"/>
        </w:rPr>
        <w:t>.</w:t>
      </w:r>
    </w:p>
    <w:p w14:paraId="39185071" w14:textId="689FA700" w:rsidR="00644473" w:rsidRPr="009639C9" w:rsidRDefault="00644473" w:rsidP="00644473">
      <w:pPr>
        <w:spacing w:before="240" w:line="480" w:lineRule="auto"/>
        <w:jc w:val="both"/>
        <w:rPr>
          <w:i/>
          <w:iCs/>
        </w:rPr>
      </w:pPr>
      <w:r>
        <w:rPr>
          <w:i/>
          <w:iCs/>
        </w:rPr>
        <w:t>Virulence</w:t>
      </w:r>
    </w:p>
    <w:p w14:paraId="74D2D9B6" w14:textId="6330732F" w:rsidR="00644473" w:rsidRDefault="00A52C88" w:rsidP="00644473">
      <w:pPr>
        <w:spacing w:before="240" w:line="480" w:lineRule="auto"/>
        <w:jc w:val="both"/>
        <w:rPr>
          <w:i/>
          <w:iCs/>
        </w:rPr>
      </w:pPr>
      <w:r>
        <w:t xml:space="preserve">Genes encoding </w:t>
      </w:r>
      <w:r w:rsidR="00644473">
        <w:t xml:space="preserve">exfoliative </w:t>
      </w:r>
      <w:r w:rsidR="008F7D05">
        <w:t>toxin-producing</w:t>
      </w:r>
      <w:r w:rsidR="00644473">
        <w:t xml:space="preserve"> virulence factor</w:t>
      </w:r>
      <w:r w:rsidR="00C4128B">
        <w:t>s</w:t>
      </w:r>
      <w:r w:rsidR="00644473">
        <w:t xml:space="preserve"> were detected </w:t>
      </w:r>
      <w:r>
        <w:t xml:space="preserve">in </w:t>
      </w:r>
      <w:r w:rsidR="00EA2AFE">
        <w:t>all</w:t>
      </w:r>
      <w:r w:rsidR="00CC1D91">
        <w:t xml:space="preserve"> </w:t>
      </w:r>
      <w:r w:rsidR="00644473">
        <w:t xml:space="preserve">27 sequenced </w:t>
      </w:r>
      <w:r w:rsidR="00644473">
        <w:rPr>
          <w:i/>
          <w:iCs/>
        </w:rPr>
        <w:t xml:space="preserve">S. </w:t>
      </w:r>
      <w:proofErr w:type="spellStart"/>
      <w:r w:rsidR="00644473">
        <w:rPr>
          <w:i/>
          <w:iCs/>
        </w:rPr>
        <w:t>hyicus</w:t>
      </w:r>
      <w:proofErr w:type="spellEnd"/>
      <w:r w:rsidR="00644473">
        <w:rPr>
          <w:i/>
          <w:iCs/>
        </w:rPr>
        <w:t xml:space="preserve"> </w:t>
      </w:r>
      <w:r w:rsidR="00644473">
        <w:t xml:space="preserve">isolates. Twenty-four isolates </w:t>
      </w:r>
      <w:r w:rsidR="00C4128B">
        <w:t>carried</w:t>
      </w:r>
      <w:r w:rsidR="00644473">
        <w:t xml:space="preserve"> both </w:t>
      </w:r>
      <w:proofErr w:type="spellStart"/>
      <w:r w:rsidR="00644473">
        <w:rPr>
          <w:i/>
          <w:iCs/>
        </w:rPr>
        <w:t>shet</w:t>
      </w:r>
      <w:r w:rsidR="00644473" w:rsidRPr="00F83970">
        <w:t>a</w:t>
      </w:r>
      <w:proofErr w:type="spellEnd"/>
      <w:r w:rsidR="00644473">
        <w:rPr>
          <w:i/>
          <w:iCs/>
        </w:rPr>
        <w:t xml:space="preserve"> </w:t>
      </w:r>
      <w:r w:rsidR="00644473">
        <w:t xml:space="preserve">and </w:t>
      </w:r>
      <w:proofErr w:type="spellStart"/>
      <w:r w:rsidR="00644473" w:rsidRPr="00A52C88">
        <w:rPr>
          <w:i/>
          <w:iCs/>
        </w:rPr>
        <w:t>exh</w:t>
      </w:r>
      <w:r w:rsidR="00644473" w:rsidRPr="00F83970">
        <w:t>D</w:t>
      </w:r>
      <w:proofErr w:type="spellEnd"/>
      <w:r w:rsidR="00644473">
        <w:t xml:space="preserve"> virulence factor</w:t>
      </w:r>
      <w:r>
        <w:t xml:space="preserve"> genes</w:t>
      </w:r>
      <w:r w:rsidR="00644473">
        <w:t xml:space="preserve">, while three isolates carried only </w:t>
      </w:r>
      <w:proofErr w:type="spellStart"/>
      <w:r w:rsidR="00644473">
        <w:rPr>
          <w:i/>
          <w:iCs/>
        </w:rPr>
        <w:t>shet</w:t>
      </w:r>
      <w:r w:rsidR="00644473" w:rsidRPr="00F83970">
        <w:t>a</w:t>
      </w:r>
      <w:proofErr w:type="spellEnd"/>
      <w:r w:rsidR="00644473">
        <w:t>.</w:t>
      </w:r>
    </w:p>
    <w:p w14:paraId="3CA3B8C3" w14:textId="098DD6CF" w:rsidR="00644473" w:rsidRPr="001D37A1" w:rsidRDefault="00644473" w:rsidP="006F7129">
      <w:pPr>
        <w:spacing w:line="480" w:lineRule="auto"/>
      </w:pPr>
      <w:r>
        <w:br w:type="page"/>
      </w:r>
      <w:r w:rsidRPr="00253494">
        <w:rPr>
          <w:i/>
          <w:iCs/>
        </w:rPr>
        <w:lastRenderedPageBreak/>
        <w:t>Phylogenetic</w:t>
      </w:r>
      <w:r w:rsidR="00894FB1">
        <w:rPr>
          <w:i/>
          <w:iCs/>
        </w:rPr>
        <w:t xml:space="preserve"> analysis</w:t>
      </w:r>
    </w:p>
    <w:p w14:paraId="328C474E" w14:textId="341A5C99" w:rsidR="00DC5ED9" w:rsidRPr="00957DF4" w:rsidRDefault="00957DF4" w:rsidP="006F7129">
      <w:pPr>
        <w:spacing w:line="480" w:lineRule="auto"/>
        <w:jc w:val="both"/>
      </w:pPr>
      <w:r>
        <w:t>The</w:t>
      </w:r>
      <w:r w:rsidR="001F39B0">
        <w:t xml:space="preserve"> </w:t>
      </w:r>
      <w:r w:rsidR="00F00647">
        <w:t xml:space="preserve">27 </w:t>
      </w:r>
      <w:r>
        <w:rPr>
          <w:i/>
          <w:iCs/>
        </w:rPr>
        <w:t xml:space="preserve">S. </w:t>
      </w:r>
      <w:proofErr w:type="spellStart"/>
      <w:r>
        <w:rPr>
          <w:i/>
          <w:iCs/>
        </w:rPr>
        <w:t>hyicus</w:t>
      </w:r>
      <w:proofErr w:type="spellEnd"/>
      <w:r>
        <w:t xml:space="preserve"> isolates from the present study </w:t>
      </w:r>
      <w:r w:rsidR="003C2BB8">
        <w:t>were phylogenetically distinct</w:t>
      </w:r>
      <w:r w:rsidR="005B6981">
        <w:t xml:space="preserve"> </w:t>
      </w:r>
      <w:r w:rsidR="00D407F5">
        <w:t>from the</w:t>
      </w:r>
      <w:r>
        <w:t xml:space="preserve"> </w:t>
      </w:r>
      <w:r w:rsidR="009120F1">
        <w:t>NCBI-</w:t>
      </w:r>
      <w:r w:rsidR="003C2BB8">
        <w:t>sourced</w:t>
      </w:r>
      <w:r>
        <w:t xml:space="preserve"> sequences</w:t>
      </w:r>
      <w:r w:rsidR="00643B22">
        <w:t>.</w:t>
      </w:r>
      <w:r>
        <w:t xml:space="preserve"> </w:t>
      </w:r>
      <w:r w:rsidR="00643B22">
        <w:t>T</w:t>
      </w:r>
      <w:r w:rsidR="001753C5">
        <w:t>he</w:t>
      </w:r>
      <w:r w:rsidR="00643B22">
        <w:t>ir</w:t>
      </w:r>
      <w:r w:rsidR="001753C5">
        <w:t xml:space="preserve"> </w:t>
      </w:r>
      <w:r w:rsidR="006B68DC">
        <w:t xml:space="preserve">closest </w:t>
      </w:r>
      <w:r w:rsidR="009F226D">
        <w:t xml:space="preserve">neighbours </w:t>
      </w:r>
      <w:r w:rsidR="00643B22">
        <w:t>were</w:t>
      </w:r>
      <w:r w:rsidR="008B3ADF">
        <w:t xml:space="preserve"> </w:t>
      </w:r>
      <w:r w:rsidR="00BF78E6">
        <w:t>a cluster of</w:t>
      </w:r>
      <w:r w:rsidR="00A20762">
        <w:t xml:space="preserve"> four </w:t>
      </w:r>
      <w:r w:rsidR="00A20762">
        <w:rPr>
          <w:i/>
          <w:iCs/>
        </w:rPr>
        <w:t xml:space="preserve">S. </w:t>
      </w:r>
      <w:proofErr w:type="spellStart"/>
      <w:r w:rsidR="00A20762">
        <w:rPr>
          <w:i/>
          <w:iCs/>
        </w:rPr>
        <w:t>hyicus</w:t>
      </w:r>
      <w:proofErr w:type="spellEnd"/>
      <w:r w:rsidR="00A20762">
        <w:t xml:space="preserve"> isolates;</w:t>
      </w:r>
      <w:r w:rsidR="00BF78E6">
        <w:t xml:space="preserve"> three</w:t>
      </w:r>
      <w:r w:rsidR="006B68DC" w:rsidRPr="006B68DC">
        <w:rPr>
          <w:i/>
          <w:iCs/>
        </w:rPr>
        <w:t xml:space="preserve"> </w:t>
      </w:r>
      <w:r w:rsidR="006B68DC">
        <w:t>isolates from</w:t>
      </w:r>
      <w:r w:rsidR="0092039A">
        <w:t xml:space="preserve"> skin lesions </w:t>
      </w:r>
      <w:r w:rsidR="00F00647">
        <w:t>in</w:t>
      </w:r>
      <w:r w:rsidR="006B68DC">
        <w:t xml:space="preserve"> Australian cattle </w:t>
      </w:r>
      <w:r w:rsidR="00D407F5" w:rsidRPr="006B68DC">
        <w:t>and</w:t>
      </w:r>
      <w:r w:rsidR="003C2BB8">
        <w:t xml:space="preserve"> a single por</w:t>
      </w:r>
      <w:r w:rsidR="007410B5">
        <w:t>cine</w:t>
      </w:r>
      <w:r w:rsidR="002173FE">
        <w:t xml:space="preserve"> skin</w:t>
      </w:r>
      <w:r w:rsidR="007410B5">
        <w:t xml:space="preserve"> isolate from China (Figure 2).</w:t>
      </w:r>
      <w:r w:rsidR="00D407F5">
        <w:t xml:space="preserve"> </w:t>
      </w:r>
      <w:r w:rsidR="00E86944">
        <w:t xml:space="preserve">Those differed </w:t>
      </w:r>
      <w:r w:rsidR="005F1155">
        <w:t>by</w:t>
      </w:r>
      <w:r w:rsidR="00E86944">
        <w:t xml:space="preserve"> </w:t>
      </w:r>
      <w:r w:rsidR="00C036B6">
        <w:t>40</w:t>
      </w:r>
      <w:r w:rsidR="00E86944">
        <w:t xml:space="preserve"> and</w:t>
      </w:r>
      <w:r w:rsidR="00950802">
        <w:t xml:space="preserve"> 32</w:t>
      </w:r>
      <w:r w:rsidR="00E86944" w:rsidRPr="00E86944">
        <w:rPr>
          <w:color w:val="FF0000"/>
        </w:rPr>
        <w:t xml:space="preserve"> </w:t>
      </w:r>
      <w:r w:rsidR="00F7204E">
        <w:t>SNPS</w:t>
      </w:r>
      <w:r w:rsidR="00D523BD">
        <w:t>, respectively,</w:t>
      </w:r>
      <w:r w:rsidR="00F7204E">
        <w:t xml:space="preserve"> from</w:t>
      </w:r>
      <w:r w:rsidR="00E86944">
        <w:t xml:space="preserve"> the closest isolate of this study</w:t>
      </w:r>
      <w:r w:rsidR="007E3419">
        <w:t xml:space="preserve"> (</w:t>
      </w:r>
      <w:r w:rsidR="007E3419" w:rsidRPr="005B5A75">
        <w:t>Table S8</w:t>
      </w:r>
      <w:r w:rsidR="007E3419">
        <w:t>)</w:t>
      </w:r>
      <w:r w:rsidR="00E86944">
        <w:t xml:space="preserve">. </w:t>
      </w:r>
      <w:r w:rsidR="000458B0" w:rsidRPr="000458B0">
        <w:t xml:space="preserve">Among these 27 isolates, 24 </w:t>
      </w:r>
      <w:r w:rsidR="00EE1CC4">
        <w:t xml:space="preserve">were </w:t>
      </w:r>
      <w:r w:rsidR="00A45DBF">
        <w:t>genetically identical</w:t>
      </w:r>
      <w:r w:rsidR="00EE1CC4">
        <w:t xml:space="preserve"> with </w:t>
      </w:r>
      <w:r w:rsidR="00A45DBF">
        <w:t>no</w:t>
      </w:r>
      <w:r w:rsidR="00EE1CC4">
        <w:t xml:space="preserve"> SNPs different between them</w:t>
      </w:r>
      <w:r w:rsidR="00681C1C">
        <w:t xml:space="preserve"> </w:t>
      </w:r>
      <w:r w:rsidR="009D4DA4">
        <w:t>(Figure 2</w:t>
      </w:r>
      <w:r w:rsidR="00761B19">
        <w:t xml:space="preserve">, </w:t>
      </w:r>
      <w:r w:rsidR="00761B19" w:rsidRPr="005B5A75">
        <w:t>Table S8</w:t>
      </w:r>
      <w:r w:rsidR="009D4DA4">
        <w:t>).</w:t>
      </w:r>
      <w:r w:rsidR="000018DC">
        <w:t xml:space="preserve"> Despite th</w:t>
      </w:r>
      <w:r w:rsidR="00D42A27">
        <w:t>is</w:t>
      </w:r>
      <w:r w:rsidR="00A10E2D">
        <w:t xml:space="preserve">, </w:t>
      </w:r>
      <w:r w:rsidR="00CB7510">
        <w:t>they exhibited</w:t>
      </w:r>
      <w:r w:rsidR="007924C3">
        <w:t xml:space="preserve"> </w:t>
      </w:r>
      <w:r w:rsidR="002C1990">
        <w:t>vari</w:t>
      </w:r>
      <w:r w:rsidR="00CB7510">
        <w:t>ation</w:t>
      </w:r>
      <w:r w:rsidR="00CF5607">
        <w:t xml:space="preserve"> in </w:t>
      </w:r>
      <w:r w:rsidR="00CB7510">
        <w:t>ARG</w:t>
      </w:r>
      <w:r w:rsidR="002C1990">
        <w:t xml:space="preserve"> carriage</w:t>
      </w:r>
      <w:r w:rsidR="009B4705">
        <w:t xml:space="preserve">, </w:t>
      </w:r>
      <w:r w:rsidR="00A318BA">
        <w:t>presenting</w:t>
      </w:r>
      <w:r w:rsidR="009B4705">
        <w:t xml:space="preserve"> three different genotypic resistance profiles</w:t>
      </w:r>
      <w:r w:rsidR="000203CC">
        <w:t xml:space="preserve"> </w:t>
      </w:r>
      <w:r w:rsidR="00EC6ADC">
        <w:t>based on</w:t>
      </w:r>
      <w:r w:rsidR="000203CC">
        <w:t xml:space="preserve"> the</w:t>
      </w:r>
      <w:r w:rsidR="00C87CA7">
        <w:t xml:space="preserve"> presence or absence of </w:t>
      </w:r>
      <w:proofErr w:type="spellStart"/>
      <w:r w:rsidR="00C87CA7">
        <w:rPr>
          <w:i/>
          <w:iCs/>
        </w:rPr>
        <w:t>tet</w:t>
      </w:r>
      <w:proofErr w:type="spellEnd"/>
      <w:r w:rsidR="00C87CA7">
        <w:rPr>
          <w:i/>
          <w:iCs/>
        </w:rPr>
        <w:t xml:space="preserve">(K) </w:t>
      </w:r>
      <w:r w:rsidR="00C87CA7">
        <w:t xml:space="preserve">and </w:t>
      </w:r>
      <w:r w:rsidR="00C87CA7">
        <w:rPr>
          <w:i/>
          <w:iCs/>
        </w:rPr>
        <w:t>erm(C)</w:t>
      </w:r>
      <w:r w:rsidR="009673E7">
        <w:t>.</w:t>
      </w:r>
    </w:p>
    <w:p w14:paraId="7B6AC7C9" w14:textId="77777777" w:rsidR="00644473" w:rsidRDefault="00644473" w:rsidP="00644473">
      <w:pPr>
        <w:keepNext/>
        <w:spacing w:line="480" w:lineRule="auto"/>
        <w:jc w:val="both"/>
      </w:pPr>
    </w:p>
    <w:p w14:paraId="4A7F6055" w14:textId="3E723005" w:rsidR="00644473" w:rsidRPr="00640BD2" w:rsidRDefault="00644473" w:rsidP="00644473">
      <w:pPr>
        <w:rPr>
          <w:b/>
          <w:bCs/>
        </w:rPr>
        <w:sectPr w:rsidR="00644473" w:rsidRPr="00640BD2" w:rsidSect="005F04AF">
          <w:headerReference w:type="even" r:id="rId13"/>
          <w:headerReference w:type="first" r:id="rId14"/>
          <w:pgSz w:w="11906" w:h="16838"/>
          <w:pgMar w:top="1440" w:right="1440" w:bottom="1440" w:left="1440" w:header="708" w:footer="708" w:gutter="0"/>
          <w:cols w:space="708"/>
          <w:docGrid w:linePitch="360"/>
        </w:sectPr>
      </w:pPr>
    </w:p>
    <w:p w14:paraId="28FD8133" w14:textId="7C9FF0F5" w:rsidR="008867D9" w:rsidRDefault="00A833F4" w:rsidP="008867D9">
      <w:pPr>
        <w:keepNext/>
      </w:pPr>
      <w:r w:rsidRPr="00A833F4">
        <w:rPr>
          <w:noProof/>
        </w:rPr>
        <w:lastRenderedPageBreak/>
        <w:drawing>
          <wp:inline distT="0" distB="0" distL="0" distR="0" wp14:anchorId="1EEBE316" wp14:editId="58A7F4AF">
            <wp:extent cx="5238750" cy="5149745"/>
            <wp:effectExtent l="0" t="0" r="0" b="0"/>
            <wp:docPr id="191391874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18743"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248707" cy="5159533"/>
                    </a:xfrm>
                    <a:prstGeom prst="rect">
                      <a:avLst/>
                    </a:prstGeom>
                  </pic:spPr>
                </pic:pic>
              </a:graphicData>
            </a:graphic>
          </wp:inline>
        </w:drawing>
      </w:r>
    </w:p>
    <w:p w14:paraId="4F7E3C24" w14:textId="67E35AD9" w:rsidR="00644473" w:rsidRPr="008867D9" w:rsidRDefault="00BE76D7" w:rsidP="00644473">
      <w:pPr>
        <w:sectPr w:rsidR="00644473" w:rsidRPr="008867D9" w:rsidSect="00644473">
          <w:pgSz w:w="16838" w:h="11906" w:orient="landscape"/>
          <w:pgMar w:top="1440" w:right="1440" w:bottom="1440" w:left="1440" w:header="708" w:footer="708" w:gutter="0"/>
          <w:cols w:space="708"/>
          <w:docGrid w:linePitch="360"/>
        </w:sectPr>
      </w:pPr>
      <w:r w:rsidRPr="008867D9">
        <w:rPr>
          <w:b/>
          <w:bCs/>
          <w:sz w:val="18"/>
          <w:szCs w:val="22"/>
        </w:rPr>
        <w:t xml:space="preserve">Figure </w:t>
      </w:r>
      <w:r w:rsidRPr="008867D9">
        <w:rPr>
          <w:b/>
          <w:bCs/>
          <w:sz w:val="18"/>
          <w:szCs w:val="22"/>
        </w:rPr>
        <w:fldChar w:fldCharType="begin"/>
      </w:r>
      <w:r w:rsidRPr="008867D9">
        <w:rPr>
          <w:b/>
          <w:bCs/>
          <w:sz w:val="18"/>
          <w:szCs w:val="22"/>
        </w:rPr>
        <w:instrText xml:space="preserve"> SEQ Figure \* ARABIC </w:instrText>
      </w:r>
      <w:r w:rsidRPr="008867D9">
        <w:rPr>
          <w:b/>
          <w:bCs/>
          <w:sz w:val="18"/>
          <w:szCs w:val="22"/>
        </w:rPr>
        <w:fldChar w:fldCharType="separate"/>
      </w:r>
      <w:r w:rsidRPr="008867D9">
        <w:rPr>
          <w:b/>
          <w:bCs/>
          <w:sz w:val="18"/>
          <w:szCs w:val="22"/>
        </w:rPr>
        <w:t>2</w:t>
      </w:r>
      <w:r w:rsidRPr="008867D9">
        <w:rPr>
          <w:sz w:val="18"/>
          <w:szCs w:val="22"/>
        </w:rPr>
        <w:fldChar w:fldCharType="end"/>
      </w:r>
      <w:r w:rsidRPr="008867D9">
        <w:rPr>
          <w:sz w:val="18"/>
          <w:szCs w:val="22"/>
        </w:rPr>
        <w:t xml:space="preserve"> </w:t>
      </w:r>
      <w:r w:rsidR="00A803CB" w:rsidRPr="008867D9">
        <w:rPr>
          <w:sz w:val="18"/>
          <w:szCs w:val="22"/>
        </w:rPr>
        <w:t xml:space="preserve">| </w:t>
      </w:r>
      <w:r w:rsidR="00033023" w:rsidRPr="00033023">
        <w:rPr>
          <w:sz w:val="18"/>
          <w:szCs w:val="22"/>
        </w:rPr>
        <w:t xml:space="preserve">Midpoint-rooted maximum likelihood phylogeny comparing </w:t>
      </w:r>
      <w:r w:rsidR="00033023" w:rsidRPr="00033023">
        <w:rPr>
          <w:i/>
          <w:iCs/>
          <w:sz w:val="18"/>
          <w:szCs w:val="22"/>
        </w:rPr>
        <w:t xml:space="preserve">Staphylococcus </w:t>
      </w:r>
      <w:proofErr w:type="spellStart"/>
      <w:r w:rsidR="00033023" w:rsidRPr="00033023">
        <w:rPr>
          <w:i/>
          <w:iCs/>
          <w:sz w:val="18"/>
          <w:szCs w:val="22"/>
        </w:rPr>
        <w:t>hyicus</w:t>
      </w:r>
      <w:proofErr w:type="spellEnd"/>
      <w:r w:rsidR="00033023" w:rsidRPr="00033023">
        <w:rPr>
          <w:sz w:val="18"/>
          <w:szCs w:val="22"/>
        </w:rPr>
        <w:t xml:space="preserve"> isolates from an exudative epidermitis outbreak in Australian pigs (red dashed line, n = 27) with all publicly available </w:t>
      </w:r>
      <w:r w:rsidR="00033023" w:rsidRPr="00033023">
        <w:rPr>
          <w:i/>
          <w:iCs/>
          <w:sz w:val="18"/>
          <w:szCs w:val="22"/>
        </w:rPr>
        <w:t xml:space="preserve">S. </w:t>
      </w:r>
      <w:proofErr w:type="spellStart"/>
      <w:r w:rsidR="00033023" w:rsidRPr="00033023">
        <w:rPr>
          <w:i/>
          <w:iCs/>
          <w:sz w:val="18"/>
          <w:szCs w:val="22"/>
        </w:rPr>
        <w:t>hyicus</w:t>
      </w:r>
      <w:proofErr w:type="spellEnd"/>
      <w:r w:rsidR="00033023" w:rsidRPr="00033023">
        <w:rPr>
          <w:sz w:val="18"/>
          <w:szCs w:val="22"/>
        </w:rPr>
        <w:t xml:space="preserve"> genome sequences from NCBI (grey dashed line, n = 27). The tree was constructed using 941 core genome SNPs, and the scale bar indicates substitutions per site.</w:t>
      </w:r>
    </w:p>
    <w:p w14:paraId="0FEAA7A5" w14:textId="00A1439B" w:rsidR="00577E7C" w:rsidRDefault="00577E7C" w:rsidP="009A3D36">
      <w:pPr>
        <w:spacing w:line="480" w:lineRule="auto"/>
      </w:pPr>
      <w:r>
        <w:lastRenderedPageBreak/>
        <w:t>DISCUSSION</w:t>
      </w:r>
    </w:p>
    <w:p w14:paraId="07363317" w14:textId="4972DCB3" w:rsidR="002E17C9" w:rsidRDefault="002E17C9" w:rsidP="00374351">
      <w:pPr>
        <w:spacing w:line="480" w:lineRule="auto"/>
        <w:jc w:val="both"/>
      </w:pPr>
      <w:r w:rsidRPr="002E17C9">
        <w:t xml:space="preserve">In the absence of a formal strain typing scheme for </w:t>
      </w:r>
      <w:r w:rsidRPr="002E17C9">
        <w:rPr>
          <w:i/>
          <w:iCs/>
        </w:rPr>
        <w:t xml:space="preserve">Staphylococcus </w:t>
      </w:r>
      <w:proofErr w:type="spellStart"/>
      <w:r w:rsidRPr="002E17C9">
        <w:rPr>
          <w:i/>
          <w:iCs/>
        </w:rPr>
        <w:t>hyicus</w:t>
      </w:r>
      <w:proofErr w:type="spellEnd"/>
      <w:r w:rsidRPr="002E17C9">
        <w:t xml:space="preserve">, 27 isolates from a single putative outbreak underwent whole-genome phylogenetic analysis to assess clonality. This revealed that 24 isolates were genetically indistinguishable, with no core genome SNP differences between them (Figure 2, Table S8). The remaining three isolates were more distantly related, suggesting they may represent unrelated background strains or separate introductions. </w:t>
      </w:r>
      <w:r w:rsidR="00345032" w:rsidRPr="00345032">
        <w:t>The complete genetic identity among the 24 isolates suggests a recent clonal expansion from a common source, indicating that a single clone was responsible for the outbreak.</w:t>
      </w:r>
      <w:r w:rsidR="00345032">
        <w:t xml:space="preserve"> </w:t>
      </w:r>
      <w:r w:rsidRPr="002E17C9">
        <w:t>If similar patterns are observed in future EE outbreaks, this could have important implications for management strategies</w:t>
      </w:r>
      <w:r w:rsidR="00551BCB">
        <w:t xml:space="preserve">, </w:t>
      </w:r>
      <w:r w:rsidRPr="002E17C9">
        <w:t>particularly through the implementation of genomic surveillance and the development of targeted autogenous vaccines derived from locally circulating clones.</w:t>
      </w:r>
    </w:p>
    <w:p w14:paraId="2F2EC936" w14:textId="52A146DE" w:rsidR="00374351" w:rsidRDefault="001C2C55" w:rsidP="00374351">
      <w:pPr>
        <w:spacing w:line="480" w:lineRule="auto"/>
        <w:jc w:val="both"/>
      </w:pPr>
      <w:r>
        <w:t>B</w:t>
      </w:r>
      <w:r w:rsidR="00374351">
        <w:t xml:space="preserve">road-spectrum antimicrobial resistance is a commonly noted feature of </w:t>
      </w:r>
      <w:r w:rsidR="00374351">
        <w:rPr>
          <w:i/>
          <w:iCs/>
        </w:rPr>
        <w:t xml:space="preserve">S. </w:t>
      </w:r>
      <w:proofErr w:type="spellStart"/>
      <w:r w:rsidR="00374351">
        <w:rPr>
          <w:i/>
          <w:iCs/>
        </w:rPr>
        <w:t>hyicus</w:t>
      </w:r>
      <w:proofErr w:type="spellEnd"/>
      <w:r w:rsidR="00374351">
        <w:rPr>
          <w:i/>
          <w:iCs/>
        </w:rPr>
        <w:t xml:space="preserve"> </w:t>
      </w:r>
      <w:r w:rsidR="00376F0F">
        <w:rPr>
          <w:noProof/>
        </w:rPr>
        <w:t>[</w:t>
      </w:r>
      <w:r w:rsidR="00311B84">
        <w:rPr>
          <w:noProof/>
        </w:rPr>
        <w:t>12, 13</w:t>
      </w:r>
      <w:r w:rsidR="00376F0F">
        <w:rPr>
          <w:noProof/>
        </w:rPr>
        <w:t>]</w:t>
      </w:r>
      <w:r w:rsidR="00374351">
        <w:rPr>
          <w:i/>
          <w:iCs/>
        </w:rPr>
        <w:t xml:space="preserve">, </w:t>
      </w:r>
      <w:r>
        <w:t xml:space="preserve">and </w:t>
      </w:r>
      <w:r w:rsidR="00374351">
        <w:t xml:space="preserve">autogenous vaccination has been previously explored as an additional tool for managing EE outbreaks, but with varying degrees of success </w:t>
      </w:r>
      <w:r w:rsidR="00376F0F">
        <w:rPr>
          <w:noProof/>
        </w:rPr>
        <w:t>[</w:t>
      </w:r>
      <w:r w:rsidR="00311B84">
        <w:rPr>
          <w:noProof/>
        </w:rPr>
        <w:t>4, 13</w:t>
      </w:r>
      <w:r w:rsidR="00376F0F">
        <w:rPr>
          <w:noProof/>
        </w:rPr>
        <w:t>]</w:t>
      </w:r>
      <w:r w:rsidR="00374351">
        <w:t xml:space="preserve">. These previous vaccine development efforts have been informed purely by virulence factor </w:t>
      </w:r>
      <w:r w:rsidR="00D82142">
        <w:t>genotype and</w:t>
      </w:r>
      <w:r w:rsidR="00DA2ED9">
        <w:t xml:space="preserve"> are typically based on a small number of isolates</w:t>
      </w:r>
      <w:r w:rsidR="00886EB0">
        <w:t xml:space="preserve"> per outbreak, </w:t>
      </w:r>
      <w:r w:rsidR="00374351">
        <w:t xml:space="preserve">which may not be a reliable predictor of vaccine efficacy. These outcomes could perhaps be improved if vaccine design considered the entire organism (via WGS-based approaches), where all components of the organism involved in immune system recognition (known and unknown) may also be inadvertently included. </w:t>
      </w:r>
      <w:r w:rsidR="00701EC3">
        <w:t>Moreover, evaluation of the extent of clonality in outbreaks is important</w:t>
      </w:r>
      <w:r w:rsidR="000B7F38">
        <w:t>, so that i</w:t>
      </w:r>
      <w:r w:rsidR="00374351">
        <w:t xml:space="preserve">n cases where </w:t>
      </w:r>
      <w:r w:rsidR="00374351">
        <w:rPr>
          <w:i/>
          <w:iCs/>
        </w:rPr>
        <w:t xml:space="preserve">S. </w:t>
      </w:r>
      <w:proofErr w:type="spellStart"/>
      <w:r w:rsidR="00374351">
        <w:rPr>
          <w:i/>
          <w:iCs/>
        </w:rPr>
        <w:t>hyicus</w:t>
      </w:r>
      <w:proofErr w:type="spellEnd"/>
      <w:r w:rsidR="00374351">
        <w:t xml:space="preserve"> outbreaks are</w:t>
      </w:r>
      <w:r w:rsidR="000B7F38">
        <w:t xml:space="preserve"> found to be</w:t>
      </w:r>
      <w:r w:rsidR="00374351">
        <w:t xml:space="preserve"> clonal </w:t>
      </w:r>
      <w:r w:rsidR="000B7F38">
        <w:t>(</w:t>
      </w:r>
      <w:r w:rsidR="00374351">
        <w:t>such as in this study</w:t>
      </w:r>
      <w:r w:rsidR="000B7F38">
        <w:t>)</w:t>
      </w:r>
      <w:r w:rsidR="00374351">
        <w:t xml:space="preserve">, autogenous vaccination </w:t>
      </w:r>
      <w:r w:rsidR="000A67E7">
        <w:t>could be</w:t>
      </w:r>
      <w:r w:rsidR="00374351">
        <w:t xml:space="preserve"> worth exploring.</w:t>
      </w:r>
    </w:p>
    <w:p w14:paraId="30E9D976" w14:textId="6B431107" w:rsidR="00374351" w:rsidRDefault="00264943" w:rsidP="00374351">
      <w:pPr>
        <w:spacing w:line="480" w:lineRule="auto"/>
        <w:jc w:val="both"/>
      </w:pPr>
      <w:r w:rsidRPr="00264943">
        <w:t xml:space="preserve">The overlap in antimicrobial resistance gene carriage observed among </w:t>
      </w:r>
      <w:r w:rsidRPr="00264943">
        <w:rPr>
          <w:i/>
          <w:iCs/>
        </w:rPr>
        <w:t xml:space="preserve">S. </w:t>
      </w:r>
      <w:proofErr w:type="spellStart"/>
      <w:r w:rsidRPr="00264943">
        <w:rPr>
          <w:i/>
          <w:iCs/>
        </w:rPr>
        <w:t>hyicus</w:t>
      </w:r>
      <w:proofErr w:type="spellEnd"/>
      <w:r w:rsidRPr="00264943">
        <w:t xml:space="preserve"> isolates in this study is consistent with the presence of a predominant outbreak clone. However, some isolates within this clonal group </w:t>
      </w:r>
      <w:r w:rsidR="00B76B77">
        <w:t xml:space="preserve">still </w:t>
      </w:r>
      <w:r w:rsidRPr="00264943">
        <w:t>exhibited gain or loss of antimicrobial resistance elements</w:t>
      </w:r>
      <w:r w:rsidR="00B76B77">
        <w:t>.</w:t>
      </w:r>
      <w:r w:rsidRPr="00264943">
        <w:t xml:space="preserve"> </w:t>
      </w:r>
      <w:r w:rsidR="00B76B77">
        <w:t>Th</w:t>
      </w:r>
      <w:r w:rsidR="00DE3D22">
        <w:t>e</w:t>
      </w:r>
      <w:r w:rsidR="00B76B77">
        <w:t xml:space="preserve"> </w:t>
      </w:r>
      <w:r w:rsidRPr="00264943">
        <w:t xml:space="preserve">limited genotypic variation provides little support for the high levels of intraspecies AMR diversity reported in other </w:t>
      </w:r>
      <w:r w:rsidRPr="00264943">
        <w:lastRenderedPageBreak/>
        <w:t xml:space="preserve">organisms such as </w:t>
      </w:r>
      <w:r w:rsidRPr="005D1486">
        <w:rPr>
          <w:i/>
          <w:iCs/>
        </w:rPr>
        <w:t>E. coli</w:t>
      </w:r>
      <w:r w:rsidR="005D1486" w:rsidRPr="005D1486">
        <w:rPr>
          <w:rFonts w:cstheme="minorHAnsi"/>
          <w:szCs w:val="22"/>
        </w:rPr>
        <w:t xml:space="preserve"> </w:t>
      </w:r>
      <w:r w:rsidR="00376F0F">
        <w:rPr>
          <w:rFonts w:cstheme="minorHAnsi"/>
          <w:noProof/>
          <w:szCs w:val="22"/>
        </w:rPr>
        <w:t>[</w:t>
      </w:r>
      <w:r w:rsidR="00311B84">
        <w:rPr>
          <w:rFonts w:cstheme="minorHAnsi"/>
          <w:noProof/>
          <w:szCs w:val="22"/>
        </w:rPr>
        <w:t>5</w:t>
      </w:r>
      <w:r w:rsidR="00376F0F">
        <w:rPr>
          <w:rFonts w:cstheme="minorHAnsi"/>
          <w:noProof/>
          <w:szCs w:val="22"/>
        </w:rPr>
        <w:t>]</w:t>
      </w:r>
      <w:r w:rsidR="00374351">
        <w:t xml:space="preserve">. Nevertheless, even the limited genotypic diversity identified in this present study can complicate the management of </w:t>
      </w:r>
      <w:r w:rsidR="00374351">
        <w:rPr>
          <w:i/>
          <w:iCs/>
        </w:rPr>
        <w:t xml:space="preserve">S. </w:t>
      </w:r>
      <w:proofErr w:type="spellStart"/>
      <w:r w:rsidR="00374351">
        <w:rPr>
          <w:i/>
          <w:iCs/>
        </w:rPr>
        <w:t>hyicus</w:t>
      </w:r>
      <w:proofErr w:type="spellEnd"/>
      <w:r w:rsidR="00374351">
        <w:t xml:space="preserve"> outbreaks regarding antimicrobial treatment. </w:t>
      </w:r>
      <w:r w:rsidR="00374351" w:rsidRPr="008A24EB">
        <w:t xml:space="preserve">If treatment is based on antimicrobial susceptibility diagnostics </w:t>
      </w:r>
      <w:r w:rsidR="00374351">
        <w:t>for</w:t>
      </w:r>
      <w:r w:rsidR="00374351" w:rsidRPr="008A24EB">
        <w:t xml:space="preserve"> a single </w:t>
      </w:r>
      <w:r w:rsidR="00374351">
        <w:t>isolate</w:t>
      </w:r>
      <w:r w:rsidR="00374351" w:rsidRPr="008A24EB">
        <w:t xml:space="preserve">, it may not be representative of the range of potential antimicrobial resistance profiles present in the </w:t>
      </w:r>
      <w:proofErr w:type="gramStart"/>
      <w:r w:rsidR="00374351" w:rsidRPr="008A24EB">
        <w:t>outbreak</w:t>
      </w:r>
      <w:r w:rsidR="00374351">
        <w:t>,</w:t>
      </w:r>
      <w:r w:rsidR="00374351" w:rsidRPr="008A24EB">
        <w:t xml:space="preserve"> and</w:t>
      </w:r>
      <w:proofErr w:type="gramEnd"/>
      <w:r w:rsidR="00374351" w:rsidRPr="008A24EB">
        <w:t xml:space="preserve"> therefore </w:t>
      </w:r>
      <w:r w:rsidR="003F7E6C">
        <w:t>be</w:t>
      </w:r>
      <w:r w:rsidR="00374351" w:rsidRPr="008A24EB">
        <w:t xml:space="preserve"> ineffective </w:t>
      </w:r>
      <w:r w:rsidR="00376F0F">
        <w:rPr>
          <w:noProof/>
        </w:rPr>
        <w:t>[</w:t>
      </w:r>
      <w:r w:rsidR="00311B84">
        <w:rPr>
          <w:noProof/>
        </w:rPr>
        <w:t>5</w:t>
      </w:r>
      <w:r w:rsidR="00376F0F">
        <w:rPr>
          <w:noProof/>
        </w:rPr>
        <w:t>]</w:t>
      </w:r>
      <w:r w:rsidR="00374351" w:rsidRPr="008A24EB">
        <w:t xml:space="preserve">. This risk can be lowered through increased sampling </w:t>
      </w:r>
      <w:r w:rsidR="00374351">
        <w:t xml:space="preserve">- </w:t>
      </w:r>
      <w:r w:rsidR="00374351" w:rsidRPr="008A24EB">
        <w:t>i.e., the investigation of multiple isolates per lesion and multiple pigs per farm as exemplified in this present study</w:t>
      </w:r>
      <w:r w:rsidR="00374351">
        <w:t>.</w:t>
      </w:r>
    </w:p>
    <w:p w14:paraId="16484A3A" w14:textId="6A088258" w:rsidR="00374351" w:rsidRPr="00C507D8" w:rsidRDefault="00374351" w:rsidP="00374351">
      <w:pPr>
        <w:spacing w:line="480" w:lineRule="auto"/>
        <w:jc w:val="both"/>
      </w:pPr>
      <w:r>
        <w:t xml:space="preserve">The cutaneous location of porcine EE lesions predisposes them to a complex bacterial ecology, </w:t>
      </w:r>
      <w:r w:rsidR="00E22F65">
        <w:t>including</w:t>
      </w:r>
      <w:r w:rsidR="008B6354">
        <w:t xml:space="preserve"> </w:t>
      </w:r>
      <w:r>
        <w:t xml:space="preserve">opportunistic commensal flora (including </w:t>
      </w:r>
      <w:r>
        <w:rPr>
          <w:i/>
          <w:iCs/>
        </w:rPr>
        <w:t xml:space="preserve">S. </w:t>
      </w:r>
      <w:proofErr w:type="spellStart"/>
      <w:r>
        <w:rPr>
          <w:i/>
          <w:iCs/>
        </w:rPr>
        <w:t>hyicus</w:t>
      </w:r>
      <w:proofErr w:type="spellEnd"/>
      <w:r>
        <w:t>) and contaminating organisms from the environment and from pen-mates. This prompts consideration of the interplay between all organisms occupying the lesion, particularly in terms of the potential for ARG exchange</w:t>
      </w:r>
      <w:r w:rsidR="00E4142D">
        <w:t xml:space="preserve"> </w:t>
      </w:r>
      <w:r w:rsidR="00376F0F">
        <w:rPr>
          <w:noProof/>
        </w:rPr>
        <w:t>[</w:t>
      </w:r>
      <w:r w:rsidR="00311B84">
        <w:rPr>
          <w:noProof/>
        </w:rPr>
        <w:t>14</w:t>
      </w:r>
      <w:r w:rsidR="00376F0F">
        <w:rPr>
          <w:noProof/>
        </w:rPr>
        <w:t>]</w:t>
      </w:r>
      <w:r>
        <w:t>. Non-</w:t>
      </w:r>
      <w:r w:rsidRPr="00305492">
        <w:rPr>
          <w:i/>
          <w:iCs/>
        </w:rPr>
        <w:t xml:space="preserve">S. </w:t>
      </w:r>
      <w:proofErr w:type="spellStart"/>
      <w:r w:rsidRPr="00305492">
        <w:rPr>
          <w:i/>
          <w:iCs/>
        </w:rPr>
        <w:t>hyicus</w:t>
      </w:r>
      <w:proofErr w:type="spellEnd"/>
      <w:r>
        <w:t xml:space="preserve"> species cohabiting the lesions investigated in this study exhibited various phenotypic antimicrobial resistances, with several demonstrating multiclass resistance (Tables S1 – S5). If these resistances are provided by ARGs on extrachromosomal elements, then there is potential for exchange with neighbouring </w:t>
      </w:r>
      <w:r>
        <w:rPr>
          <w:i/>
          <w:iCs/>
        </w:rPr>
        <w:t xml:space="preserve">S. </w:t>
      </w:r>
      <w:proofErr w:type="spellStart"/>
      <w:r>
        <w:rPr>
          <w:i/>
          <w:iCs/>
        </w:rPr>
        <w:t>hyicus</w:t>
      </w:r>
      <w:proofErr w:type="spellEnd"/>
      <w:r>
        <w:t xml:space="preserve"> isolates. </w:t>
      </w:r>
      <w:r w:rsidR="003E282F" w:rsidRPr="003E282F">
        <w:t>Whole genome sequencing of cohabiting lesion flora was not undertaken in this study</w:t>
      </w:r>
      <w:r w:rsidR="003E282F">
        <w:t xml:space="preserve"> but</w:t>
      </w:r>
      <w:r w:rsidR="003E282F" w:rsidRPr="003E282F">
        <w:t xml:space="preserve"> should be considered in future investigations to assess the potential for exchange of extrachromosomal resistance elements.</w:t>
      </w:r>
    </w:p>
    <w:p w14:paraId="38363519" w14:textId="2BC26D19" w:rsidR="00257F29" w:rsidRDefault="00A27FF0" w:rsidP="0069664B">
      <w:pPr>
        <w:spacing w:line="480" w:lineRule="auto"/>
        <w:jc w:val="both"/>
      </w:pPr>
      <w:r>
        <w:t xml:space="preserve">In summary, this study suggests that the diagnostic protocol for </w:t>
      </w:r>
      <w:r w:rsidR="00292011">
        <w:t>EE</w:t>
      </w:r>
      <w:r>
        <w:t xml:space="preserve"> outbreaks in pigs should consider if all the important microbial occupants of lesions will be detected and adequately characterised. Protocols involving more intensive sampling of pigs and isolates do increase the likelihood of correctly identifying the most appropriate antimicrobial therapy. </w:t>
      </w:r>
      <w:r w:rsidR="00CC20AC">
        <w:t>With</w:t>
      </w:r>
      <w:r w:rsidR="00254926">
        <w:t xml:space="preserve"> </w:t>
      </w:r>
      <w:r w:rsidR="00BD0092">
        <w:t>further</w:t>
      </w:r>
      <w:r w:rsidR="00254926">
        <w:t xml:space="preserve"> surveillanc</w:t>
      </w:r>
      <w:r w:rsidR="007419A3">
        <w:t>e</w:t>
      </w:r>
      <w:r w:rsidR="00544643">
        <w:t xml:space="preserve"> of </w:t>
      </w:r>
      <w:r w:rsidR="00544643">
        <w:rPr>
          <w:i/>
          <w:iCs/>
        </w:rPr>
        <w:t xml:space="preserve">S. </w:t>
      </w:r>
      <w:proofErr w:type="spellStart"/>
      <w:r w:rsidR="00544643">
        <w:rPr>
          <w:i/>
          <w:iCs/>
        </w:rPr>
        <w:t>hyicus</w:t>
      </w:r>
      <w:proofErr w:type="spellEnd"/>
      <w:r w:rsidR="00544643">
        <w:t xml:space="preserve"> outbreaks, the</w:t>
      </w:r>
      <w:r w:rsidR="00CF01F5">
        <w:t xml:space="preserve"> value </w:t>
      </w:r>
      <w:r w:rsidR="00292011">
        <w:t xml:space="preserve">of </w:t>
      </w:r>
      <w:r w:rsidR="00544643">
        <w:t>autogenous vaccination</w:t>
      </w:r>
      <w:r w:rsidR="00CF01F5">
        <w:t xml:space="preserve"> can be gauged</w:t>
      </w:r>
      <w:r w:rsidR="00BD0092">
        <w:t xml:space="preserve"> – </w:t>
      </w:r>
      <w:r w:rsidR="00AF3DB3">
        <w:t>based</w:t>
      </w:r>
      <w:r w:rsidR="006A5D92">
        <w:t xml:space="preserve"> on the degree</w:t>
      </w:r>
      <w:r w:rsidR="00292011">
        <w:t xml:space="preserve"> of</w:t>
      </w:r>
      <w:r w:rsidR="006A5D92">
        <w:t xml:space="preserve"> homogeneity</w:t>
      </w:r>
      <w:r w:rsidR="00AF3DB3">
        <w:t xml:space="preserve"> displayed </w:t>
      </w:r>
      <w:r w:rsidR="00292011">
        <w:t>in</w:t>
      </w:r>
      <w:r w:rsidR="00AF3DB3">
        <w:t xml:space="preserve"> outbreaks</w:t>
      </w:r>
      <w:r w:rsidR="006A5D92">
        <w:t xml:space="preserve"> </w:t>
      </w:r>
      <w:r w:rsidR="00AF3DB3">
        <w:t>– with the potential for implementation as an additional management tool.</w:t>
      </w:r>
      <w:r w:rsidR="007419A3">
        <w:t xml:space="preserve"> </w:t>
      </w:r>
      <w:r w:rsidRPr="00254926">
        <w:t>Multi</w:t>
      </w:r>
      <w:r>
        <w:t xml:space="preserve">-isolate sampling facilitated by high-throughput laboratory platforms becomes attractive in a </w:t>
      </w:r>
      <w:r>
        <w:lastRenderedPageBreak/>
        <w:t>diagnostic setting when bacterial ecology of lesions is complicated</w:t>
      </w:r>
      <w:r w:rsidR="00AE2308">
        <w:t>,</w:t>
      </w:r>
      <w:r>
        <w:t xml:space="preserve"> </w:t>
      </w:r>
      <w:r w:rsidR="00AE2308">
        <w:t>and/</w:t>
      </w:r>
      <w:r>
        <w:t>or when there is substantial within-herd variation in colonisation.</w:t>
      </w:r>
      <w:r w:rsidR="00257F29">
        <w:br w:type="page"/>
      </w:r>
    </w:p>
    <w:p w14:paraId="5546449E" w14:textId="77777777" w:rsidR="004324ED" w:rsidRDefault="00ED6F47">
      <w:proofErr w:type="spellStart"/>
      <w:r>
        <w:lastRenderedPageBreak/>
        <w:t>CRediT</w:t>
      </w:r>
      <w:proofErr w:type="spellEnd"/>
      <w:r>
        <w:t xml:space="preserve"> AUTHORSHIP CONTRIBUTION STATEMENT</w:t>
      </w:r>
    </w:p>
    <w:p w14:paraId="05DE47B0" w14:textId="176DF363" w:rsidR="006C11FC" w:rsidRDefault="006C6A0C">
      <w:r w:rsidRPr="006C6A0C">
        <w:rPr>
          <w:b/>
          <w:bCs/>
        </w:rPr>
        <w:t>Alec Truswell</w:t>
      </w:r>
      <w:r>
        <w:t xml:space="preserve">: Conceptualisation, Methodology, Investigation, Data Curation, Formal Analysis, Visualisation, Writing – Original Draft. </w:t>
      </w:r>
      <w:r w:rsidRPr="006C6A0C">
        <w:rPr>
          <w:b/>
          <w:bCs/>
        </w:rPr>
        <w:t>David Jordan</w:t>
      </w:r>
      <w:r>
        <w:t xml:space="preserve">: Conceptualisation, Methodology, Writing – Review and Editing. </w:t>
      </w:r>
      <w:r w:rsidRPr="006C6A0C">
        <w:rPr>
          <w:b/>
          <w:bCs/>
        </w:rPr>
        <w:t>Stanley Pang</w:t>
      </w:r>
      <w:r>
        <w:t xml:space="preserve">: Formal Analysis, Writing – Review and Editing. </w:t>
      </w:r>
      <w:r w:rsidRPr="003C4A9B">
        <w:rPr>
          <w:b/>
          <w:bCs/>
        </w:rPr>
        <w:t>Tanya Cherrington</w:t>
      </w:r>
      <w:r>
        <w:t xml:space="preserve">: </w:t>
      </w:r>
      <w:r w:rsidR="003C4A9B">
        <w:t xml:space="preserve">Formal Analysis. </w:t>
      </w:r>
      <w:r w:rsidR="003C4A9B" w:rsidRPr="003C4A9B">
        <w:rPr>
          <w:b/>
          <w:bCs/>
        </w:rPr>
        <w:t>David J. Hampson</w:t>
      </w:r>
      <w:r w:rsidR="003C4A9B">
        <w:t xml:space="preserve">: Writing – Review and Editing. </w:t>
      </w:r>
      <w:r w:rsidR="003C4A9B" w:rsidRPr="003C4A9B">
        <w:rPr>
          <w:b/>
          <w:bCs/>
        </w:rPr>
        <w:t>John Blinco</w:t>
      </w:r>
      <w:r w:rsidR="003C4A9B">
        <w:t xml:space="preserve">: Investigation. </w:t>
      </w:r>
      <w:r w:rsidR="003C4A9B" w:rsidRPr="003C4A9B">
        <w:rPr>
          <w:b/>
          <w:bCs/>
        </w:rPr>
        <w:t>Sandy Adsett</w:t>
      </w:r>
      <w:r w:rsidR="003C4A9B">
        <w:t xml:space="preserve">: Investigation. </w:t>
      </w:r>
      <w:r w:rsidR="003C4A9B" w:rsidRPr="003C4A9B">
        <w:rPr>
          <w:b/>
          <w:bCs/>
        </w:rPr>
        <w:t>Rebecca Abraham</w:t>
      </w:r>
      <w:r w:rsidR="003C4A9B">
        <w:t xml:space="preserve">:  Supervision. </w:t>
      </w:r>
      <w:r w:rsidR="003C4A9B" w:rsidRPr="003C4A9B">
        <w:rPr>
          <w:b/>
          <w:bCs/>
        </w:rPr>
        <w:t>Marc Stegger</w:t>
      </w:r>
      <w:r w:rsidR="003C4A9B">
        <w:t xml:space="preserve">: Formal Analysis, Writing – Review and Editing. </w:t>
      </w:r>
      <w:r w:rsidR="003C4A9B" w:rsidRPr="003C4A9B">
        <w:rPr>
          <w:b/>
          <w:bCs/>
        </w:rPr>
        <w:t>Sam Abraham</w:t>
      </w:r>
      <w:r w:rsidR="003C4A9B">
        <w:t>: Conceptualisation, Funding Acquisition, Resources, Methodology, Supervision.</w:t>
      </w:r>
      <w:r w:rsidR="006C11FC">
        <w:br w:type="page"/>
      </w:r>
    </w:p>
    <w:p w14:paraId="03CEFAE6" w14:textId="7FB2B532" w:rsidR="00BF562A" w:rsidRDefault="00BF562A" w:rsidP="00867656">
      <w:pPr>
        <w:spacing w:line="480" w:lineRule="auto"/>
        <w:jc w:val="both"/>
      </w:pPr>
      <w:r>
        <w:lastRenderedPageBreak/>
        <w:t>DECLARATION OF COMPETING INTERESTS</w:t>
      </w:r>
    </w:p>
    <w:p w14:paraId="70305010" w14:textId="7ECBC3E7" w:rsidR="00867656" w:rsidRDefault="00867656" w:rsidP="00867656">
      <w:pPr>
        <w:spacing w:line="480" w:lineRule="auto"/>
        <w:jc w:val="both"/>
      </w:pPr>
      <w:r w:rsidRPr="00867656">
        <w:t xml:space="preserve">Prof. Sam Abraham and Dr. Rebecca Abraham are Directors and scientific leads at Aquila Scientific, a start-up biotechnology company. They have previously received funding from several Australian livestock industry bodies, including Australasian Pork Research and Innovation Limited, Australian Eggs, and </w:t>
      </w:r>
      <w:proofErr w:type="spellStart"/>
      <w:r w:rsidRPr="00867656">
        <w:t>AgriFutures</w:t>
      </w:r>
      <w:proofErr w:type="spellEnd"/>
      <w:r w:rsidRPr="00867656">
        <w:t xml:space="preserve"> (Chicken Meat Program), as well as government agencies such as Food Standards Australia New Zealand, the Commonwealth Department of Agriculture, and the WA Department of Health. Their research has focused on developing robotics and antimicrobial resistance (AMR) testing for commensal and pathogenic organisms in humans, animals, and food.</w:t>
      </w:r>
    </w:p>
    <w:p w14:paraId="2C58133F" w14:textId="7F345D06" w:rsidR="00BF562A" w:rsidRDefault="00BF562A" w:rsidP="00867656">
      <w:pPr>
        <w:spacing w:line="480" w:lineRule="auto"/>
        <w:jc w:val="both"/>
      </w:pPr>
      <w:r>
        <w:br w:type="page"/>
      </w:r>
    </w:p>
    <w:p w14:paraId="3D388D93" w14:textId="77777777" w:rsidR="004324ED" w:rsidRDefault="006B08A8" w:rsidP="00867656">
      <w:pPr>
        <w:spacing w:line="480" w:lineRule="auto"/>
      </w:pPr>
      <w:r>
        <w:lastRenderedPageBreak/>
        <w:t>FUNDING</w:t>
      </w:r>
      <w:r w:rsidR="00AD6757">
        <w:t xml:space="preserve"> SOURCE(S)</w:t>
      </w:r>
    </w:p>
    <w:p w14:paraId="5CE2FF7C" w14:textId="77777777" w:rsidR="00867656" w:rsidRDefault="00867656" w:rsidP="00867656">
      <w:pPr>
        <w:spacing w:line="480" w:lineRule="auto"/>
        <w:jc w:val="both"/>
      </w:pPr>
      <w:r w:rsidRPr="00867656">
        <w:t xml:space="preserve">Alec Truswell was supported by a PhD scholarship from Australian Pork Limited. This project was supported by Australian Pork Limited (APL) Project: </w:t>
      </w:r>
      <w:r w:rsidRPr="00867656">
        <w:rPr>
          <w:i/>
          <w:iCs/>
        </w:rPr>
        <w:t>High throughput robotics for the management and control of antimicrobial resistance and endemic diseases in pigs</w:t>
      </w:r>
      <w:r w:rsidRPr="00867656">
        <w:t xml:space="preserve"> (2021/0039)</w:t>
      </w:r>
      <w:r>
        <w:t>.</w:t>
      </w:r>
    </w:p>
    <w:p w14:paraId="6A9C39B9" w14:textId="2751CE20" w:rsidR="006B08A8" w:rsidRDefault="00867656" w:rsidP="00867656">
      <w:pPr>
        <w:spacing w:line="480" w:lineRule="auto"/>
        <w:jc w:val="both"/>
      </w:pPr>
      <w:r w:rsidRPr="00867656">
        <w:t>Prof. Sam Abraham was supported by a WA Near Miss Fellowship through the Future Health Research and Innovation (FHRI) Fund, Department of Health, Government of Western Australia (WANMA/EL2022/10).</w:t>
      </w:r>
      <w:r w:rsidR="006B08A8">
        <w:br w:type="page"/>
      </w:r>
    </w:p>
    <w:p w14:paraId="32C267A4" w14:textId="77777777" w:rsidR="004324ED" w:rsidRDefault="004324ED">
      <w:r>
        <w:lastRenderedPageBreak/>
        <w:t>ACKNOWLEDGEMENTS</w:t>
      </w:r>
    </w:p>
    <w:p w14:paraId="6D3E87F1" w14:textId="3EB382E6" w:rsidR="004324ED" w:rsidRDefault="00867656">
      <w:r>
        <w:t>N/A</w:t>
      </w:r>
      <w:r w:rsidR="004324ED">
        <w:br w:type="page"/>
      </w:r>
    </w:p>
    <w:p w14:paraId="418BA51E" w14:textId="5D56FD41" w:rsidR="00D1741E" w:rsidRDefault="00D1741E" w:rsidP="009A3D36">
      <w:pPr>
        <w:spacing w:line="480" w:lineRule="auto"/>
        <w:jc w:val="both"/>
      </w:pPr>
      <w:r>
        <w:lastRenderedPageBreak/>
        <w:t>REFERENCES</w:t>
      </w:r>
    </w:p>
    <w:p w14:paraId="41371E1E" w14:textId="77777777" w:rsidR="00A73E53" w:rsidRDefault="00E4142D" w:rsidP="00A73E53">
      <w:pPr>
        <w:pStyle w:val="EndNoteBibliography"/>
        <w:spacing w:after="0"/>
        <w:ind w:left="720" w:hanging="720"/>
      </w:pPr>
      <w:r w:rsidRPr="00E4142D">
        <w:t>1.</w:t>
      </w:r>
      <w:r w:rsidRPr="00E4142D">
        <w:tab/>
      </w:r>
      <w:r w:rsidR="00A73E53" w:rsidRPr="00A73E53">
        <w:t xml:space="preserve">Frana TS, Hau SJ. Staphylococcosis. In: Zimmerman JJ, Karriker LA, Ramirez A, Schwartz KJ, Stevenson GW, Zhang J, editors. </w:t>
      </w:r>
      <w:r w:rsidR="00A73E53" w:rsidRPr="00A73E53">
        <w:rPr>
          <w:i/>
          <w:iCs/>
        </w:rPr>
        <w:t>Diseases of Swine</w:t>
      </w:r>
      <w:r w:rsidR="00A73E53" w:rsidRPr="00A73E53">
        <w:t>. 11th ed. Hoboken (NJ): Wiley-Blackwell; 2019. p. 926–33.</w:t>
      </w:r>
    </w:p>
    <w:p w14:paraId="6990816F" w14:textId="77777777" w:rsidR="004B303A" w:rsidRDefault="00E4142D" w:rsidP="004B303A">
      <w:pPr>
        <w:pStyle w:val="EndNoteBibliography"/>
        <w:spacing w:after="0"/>
        <w:ind w:left="720" w:hanging="720"/>
      </w:pPr>
      <w:r w:rsidRPr="00E4142D">
        <w:t>2.</w:t>
      </w:r>
      <w:r w:rsidRPr="00E4142D">
        <w:tab/>
      </w:r>
      <w:r w:rsidR="004B303A" w:rsidRPr="004B303A">
        <w:t xml:space="preserve">Quinn PJ, Markey BK, Leonard FC, Hartigan P, Fanning S, Fitzpatrick E. </w:t>
      </w:r>
      <w:r w:rsidR="004B303A" w:rsidRPr="004B303A">
        <w:rPr>
          <w:i/>
          <w:iCs/>
        </w:rPr>
        <w:t>Veterinary Microbiology and Microbial Disease</w:t>
      </w:r>
      <w:r w:rsidR="004B303A" w:rsidRPr="004B303A">
        <w:t>. 2nd ed. Hoboken (NJ): Wiley-Blackwell; 2011.</w:t>
      </w:r>
    </w:p>
    <w:p w14:paraId="056E16D5" w14:textId="34941761" w:rsidR="00E4142D" w:rsidRPr="00E4142D" w:rsidRDefault="00E4142D" w:rsidP="00212C1C">
      <w:pPr>
        <w:pStyle w:val="EndNoteBibliography"/>
        <w:spacing w:after="0"/>
        <w:ind w:left="720" w:hanging="720"/>
      </w:pPr>
      <w:r w:rsidRPr="00E4142D">
        <w:t>3.</w:t>
      </w:r>
      <w:r w:rsidRPr="00E4142D">
        <w:tab/>
      </w:r>
      <w:r w:rsidR="00212C1C" w:rsidRPr="00212C1C">
        <w:t xml:space="preserve">Park J, Friendship RM, Poljak Z, Weese JS, Dewey CE. An investigation of exudative epidermitis (greasy pig disease) and antimicrobial resistance patterns of </w:t>
      </w:r>
      <w:r w:rsidR="00212C1C" w:rsidRPr="00212C1C">
        <w:rPr>
          <w:i/>
          <w:iCs/>
        </w:rPr>
        <w:t>Staphylococcus hyicus</w:t>
      </w:r>
      <w:r w:rsidR="00212C1C" w:rsidRPr="00212C1C">
        <w:t xml:space="preserve"> and </w:t>
      </w:r>
      <w:r w:rsidR="00212C1C" w:rsidRPr="00212C1C">
        <w:rPr>
          <w:i/>
          <w:iCs/>
        </w:rPr>
        <w:t>Staphylococcus aureus</w:t>
      </w:r>
      <w:r w:rsidR="00212C1C" w:rsidRPr="00212C1C">
        <w:t xml:space="preserve"> isolated from clinical cases. </w:t>
      </w:r>
      <w:r w:rsidR="00212C1C" w:rsidRPr="00212C1C">
        <w:rPr>
          <w:i/>
          <w:iCs/>
        </w:rPr>
        <w:t>Can Vet J</w:t>
      </w:r>
      <w:r w:rsidR="00212C1C" w:rsidRPr="00212C1C">
        <w:t>. 2013;54(2):139.</w:t>
      </w:r>
    </w:p>
    <w:p w14:paraId="7B6C6AD1" w14:textId="3084F33B" w:rsidR="001A24B3" w:rsidRDefault="00E4142D" w:rsidP="001A24B3">
      <w:pPr>
        <w:pStyle w:val="EndNoteBibliography"/>
        <w:spacing w:after="0"/>
        <w:ind w:left="720" w:hanging="720"/>
      </w:pPr>
      <w:r w:rsidRPr="00E4142D">
        <w:t>4.</w:t>
      </w:r>
      <w:r w:rsidRPr="00E4142D">
        <w:tab/>
      </w:r>
      <w:r w:rsidR="00D45DAE" w:rsidRPr="00D45DAE">
        <w:t xml:space="preserve">Pickering AC, Haag AF, Penadés JR, Fitzgerald JR. Staphylococcus. In: Prescott JF, MacInnes JI, Van Immerseel F, Boyce JD, Rycroft AN, Vázquez-Boland JA, eds. </w:t>
      </w:r>
      <w:r w:rsidR="00D45DAE" w:rsidRPr="00D45DAE">
        <w:rPr>
          <w:i/>
          <w:iCs/>
        </w:rPr>
        <w:t>Pathogenesis of Bacterial Infections in Animals</w:t>
      </w:r>
      <w:r w:rsidR="00D45DAE" w:rsidRPr="00D45DAE">
        <w:t>. 5th ed. Hoboken (NJ): Wiley-Blackwell; 2022. p. 543–64.</w:t>
      </w:r>
    </w:p>
    <w:p w14:paraId="63DB0CD0" w14:textId="1D20BDD7" w:rsidR="00E4142D" w:rsidRPr="00E4142D" w:rsidRDefault="00E4142D" w:rsidP="003A05D2">
      <w:pPr>
        <w:pStyle w:val="EndNoteBibliography"/>
        <w:spacing w:after="0"/>
        <w:ind w:left="720" w:hanging="720"/>
      </w:pPr>
      <w:r w:rsidRPr="00E4142D">
        <w:t>5.</w:t>
      </w:r>
      <w:r w:rsidRPr="00E4142D">
        <w:tab/>
      </w:r>
      <w:r w:rsidR="003A05D2" w:rsidRPr="003A05D2">
        <w:t xml:space="preserve">Laird TJ, Jordan D, Lee ZZ, O’Dea M, Stegger M, Truswell A, et al. Diversity detected in commensals at host and farm level reveals implications for national antimicrobial resistance surveillance programmes. </w:t>
      </w:r>
      <w:r w:rsidR="003A05D2" w:rsidRPr="003A05D2">
        <w:rPr>
          <w:i/>
          <w:iCs/>
        </w:rPr>
        <w:t>J Antimicrob Chemother</w:t>
      </w:r>
      <w:r w:rsidR="003A05D2" w:rsidRPr="003A05D2">
        <w:t>. 2022;77(2):400–8. https://doi.org/10.1093/jac/dkab403</w:t>
      </w:r>
    </w:p>
    <w:p w14:paraId="22BE0AB9" w14:textId="5F0FCC91" w:rsidR="00E4142D" w:rsidRPr="00E4142D" w:rsidRDefault="00E4142D" w:rsidP="00A843C2">
      <w:pPr>
        <w:pStyle w:val="EndNoteBibliography"/>
        <w:spacing w:after="0"/>
        <w:ind w:left="720" w:hanging="720"/>
      </w:pPr>
      <w:r w:rsidRPr="00E4142D">
        <w:t>6.</w:t>
      </w:r>
      <w:r w:rsidRPr="00E4142D">
        <w:tab/>
      </w:r>
      <w:r w:rsidR="00A843C2" w:rsidRPr="00A843C2">
        <w:t xml:space="preserve">Schwarz S, Feßler AT, Loncaric I, Wu C, Kadlec K, Wang Y, et al. Antimicrobial resistance among staphylococci of animal origin. </w:t>
      </w:r>
      <w:r w:rsidR="00A843C2" w:rsidRPr="00A843C2">
        <w:rPr>
          <w:i/>
          <w:iCs/>
        </w:rPr>
        <w:t>Microbiol Spectr</w:t>
      </w:r>
      <w:r w:rsidR="00A843C2" w:rsidRPr="00A843C2">
        <w:t>. 2018;6(4). https://doi.org/10.1128/microbiolspec.ARBA-0010-2017</w:t>
      </w:r>
    </w:p>
    <w:p w14:paraId="57BC3F28" w14:textId="7F7EEE6B" w:rsidR="00E4142D" w:rsidRPr="00E4142D" w:rsidRDefault="00E4142D" w:rsidP="00A843C2">
      <w:pPr>
        <w:pStyle w:val="EndNoteBibliography"/>
        <w:spacing w:after="0"/>
        <w:ind w:left="720" w:hanging="720"/>
      </w:pPr>
      <w:r w:rsidRPr="00E4142D">
        <w:t>7.</w:t>
      </w:r>
      <w:r w:rsidRPr="00E4142D">
        <w:tab/>
      </w:r>
      <w:r w:rsidR="00A843C2" w:rsidRPr="00A843C2">
        <w:t xml:space="preserve">Ikhimiukor OO, Souza SSR, Marcovici MM, Nye GJ, Gibson R, Andam CP. Leaky barriers to gene sharing between locally co-existing coagulase-negative </w:t>
      </w:r>
      <w:r w:rsidR="00A843C2" w:rsidRPr="00A843C2">
        <w:rPr>
          <w:i/>
          <w:iCs/>
        </w:rPr>
        <w:t>Staphylococcus</w:t>
      </w:r>
      <w:r w:rsidR="00A843C2" w:rsidRPr="00A843C2">
        <w:t xml:space="preserve"> species. </w:t>
      </w:r>
      <w:r w:rsidR="00A843C2" w:rsidRPr="00A843C2">
        <w:rPr>
          <w:i/>
          <w:iCs/>
        </w:rPr>
        <w:t>Commun Biol</w:t>
      </w:r>
      <w:r w:rsidR="00A843C2" w:rsidRPr="00A843C2">
        <w:t>. 2023;6(1):482. https://doi.org/10.1038/s42003-023-04877-0</w:t>
      </w:r>
    </w:p>
    <w:p w14:paraId="6A9D6F4D" w14:textId="2AE829AC" w:rsidR="00E4142D" w:rsidRPr="00E4142D" w:rsidRDefault="00E4142D" w:rsidP="00A843C2">
      <w:pPr>
        <w:pStyle w:val="EndNoteBibliography"/>
        <w:spacing w:after="0"/>
        <w:ind w:left="720" w:hanging="720"/>
      </w:pPr>
      <w:r w:rsidRPr="00E4142D">
        <w:t>8.</w:t>
      </w:r>
      <w:r w:rsidRPr="00E4142D">
        <w:tab/>
      </w:r>
      <w:r w:rsidR="00A843C2" w:rsidRPr="00A843C2">
        <w:t xml:space="preserve">Truswell A, Abraham R, O’Dea M, Lee ZZ, Lee T, Laird T, et al. Robotic Antimicrobial Susceptibility Platform (RASP): a next-generation approach to One Health surveillance of antimicrobial resistance. </w:t>
      </w:r>
      <w:r w:rsidR="00A843C2" w:rsidRPr="00A843C2">
        <w:rPr>
          <w:i/>
          <w:iCs/>
        </w:rPr>
        <w:t>J Antimicrob Chemother</w:t>
      </w:r>
      <w:r w:rsidR="00A843C2" w:rsidRPr="00A843C2">
        <w:t>. 2021;76(7):1800–7. https://doi.org/10.1093/jac/dkab126</w:t>
      </w:r>
    </w:p>
    <w:p w14:paraId="545A2EF3" w14:textId="4F0B809D" w:rsidR="00E4142D" w:rsidRPr="00E4142D" w:rsidRDefault="00E4142D" w:rsidP="00D1582C">
      <w:pPr>
        <w:pStyle w:val="EndNoteBibliography"/>
        <w:spacing w:after="0"/>
        <w:ind w:left="720" w:hanging="720"/>
      </w:pPr>
      <w:r w:rsidRPr="00E4142D">
        <w:t>9.</w:t>
      </w:r>
      <w:r w:rsidRPr="00E4142D">
        <w:tab/>
      </w:r>
      <w:r w:rsidR="00D1582C" w:rsidRPr="00D1582C">
        <w:t>Clinical and Laboratory Standards Institute. Performance standards for antimicrobial susceptibility testing. 21st informational supplement. CLSI document M100-S21. Wayne (PA): CLSI; 2011.</w:t>
      </w:r>
    </w:p>
    <w:p w14:paraId="2A5A2A91" w14:textId="10A25D62" w:rsidR="00E4142D" w:rsidRPr="00E4142D" w:rsidRDefault="00E4142D" w:rsidP="00546C79">
      <w:pPr>
        <w:pStyle w:val="EndNoteBibliography"/>
        <w:spacing w:after="0"/>
        <w:ind w:left="720" w:hanging="720"/>
      </w:pPr>
      <w:r w:rsidRPr="00E4142D">
        <w:t>10.</w:t>
      </w:r>
      <w:r w:rsidRPr="00E4142D">
        <w:tab/>
      </w:r>
      <w:r w:rsidR="00546C79" w:rsidRPr="00546C79">
        <w:t xml:space="preserve">Onuma K, Uoya Y, Koide T, Shibata A, Tanabe T, Sato H. Detection of </w:t>
      </w:r>
      <w:r w:rsidR="00546C79" w:rsidRPr="00546C79">
        <w:rPr>
          <w:i/>
          <w:iCs/>
        </w:rPr>
        <w:t>Staphylococcus hyicus</w:t>
      </w:r>
      <w:r w:rsidR="00546C79" w:rsidRPr="00546C79">
        <w:t xml:space="preserve"> exfoliative toxin genes by dot blot hybridization and multiplex polymerase chain reaction. </w:t>
      </w:r>
      <w:r w:rsidR="00546C79" w:rsidRPr="00546C79">
        <w:rPr>
          <w:i/>
          <w:iCs/>
        </w:rPr>
        <w:t>Microbiol Immunol</w:t>
      </w:r>
      <w:r w:rsidR="00546C79" w:rsidRPr="00546C79">
        <w:t>. 2011;55(3):168–73. https://doi.org/10.1111/j.1348-0421.2011.00308.x</w:t>
      </w:r>
      <w:r w:rsidR="009137E4">
        <w:t xml:space="preserve"> </w:t>
      </w:r>
    </w:p>
    <w:p w14:paraId="02C65BF3" w14:textId="0F39EE4D" w:rsidR="00E4142D" w:rsidRPr="00E4142D" w:rsidRDefault="00E4142D" w:rsidP="009137E4">
      <w:pPr>
        <w:pStyle w:val="EndNoteBibliography"/>
        <w:spacing w:after="0"/>
        <w:ind w:left="720" w:hanging="720"/>
      </w:pPr>
      <w:r w:rsidRPr="00E4142D">
        <w:t>11.</w:t>
      </w:r>
      <w:r w:rsidRPr="00E4142D">
        <w:tab/>
      </w:r>
      <w:r w:rsidR="009137E4" w:rsidRPr="009137E4">
        <w:t xml:space="preserve">Alcock BP, Huynh W, Chalil R, Smith KW, Raphenya AR, Wlodarski MA, et al. CARD 2023: expanded curation, support for machine learning, and resistome prediction at the Comprehensive Antibiotic Resistance Database. </w:t>
      </w:r>
      <w:r w:rsidR="009137E4" w:rsidRPr="009137E4">
        <w:rPr>
          <w:i/>
          <w:iCs/>
        </w:rPr>
        <w:t>Nucleic Acids Res</w:t>
      </w:r>
      <w:r w:rsidR="009137E4" w:rsidRPr="009137E4">
        <w:t>. 2023;51(D1):D690–9. https://doi.org/10.1093/nar/gkac920</w:t>
      </w:r>
    </w:p>
    <w:p w14:paraId="1FCB5A8D" w14:textId="14FF2AF2" w:rsidR="00E4142D" w:rsidRPr="00E4142D" w:rsidRDefault="00E4142D" w:rsidP="005039FB">
      <w:pPr>
        <w:pStyle w:val="EndNoteBibliography"/>
        <w:spacing w:after="0"/>
        <w:ind w:left="720" w:hanging="720"/>
      </w:pPr>
      <w:r w:rsidRPr="00E4142D">
        <w:t>12.</w:t>
      </w:r>
      <w:r w:rsidRPr="00E4142D">
        <w:tab/>
      </w:r>
      <w:r w:rsidR="005039FB" w:rsidRPr="005039FB">
        <w:t xml:space="preserve">Tetens J, Sprotte S, Thimm G, Wagner N, Brinks E, Neve H, et al. First molecular characterization of Siphoviridae-like bacteriophages infecting </w:t>
      </w:r>
      <w:r w:rsidR="005039FB" w:rsidRPr="005039FB">
        <w:rPr>
          <w:i/>
          <w:iCs/>
        </w:rPr>
        <w:t>Staphylococcus hyicus</w:t>
      </w:r>
      <w:r w:rsidR="005039FB" w:rsidRPr="005039FB">
        <w:t xml:space="preserve"> in a case of exudative epidermitis. </w:t>
      </w:r>
      <w:r w:rsidR="005039FB" w:rsidRPr="005039FB">
        <w:rPr>
          <w:i/>
          <w:iCs/>
        </w:rPr>
        <w:t>Front Microbiol</w:t>
      </w:r>
      <w:r w:rsidR="005039FB" w:rsidRPr="005039FB">
        <w:t>. 2021;12:653501. https://doi.org/10.3389/fmicb.2021.653501</w:t>
      </w:r>
    </w:p>
    <w:p w14:paraId="1C584B51" w14:textId="48B0B8AD" w:rsidR="00E4142D" w:rsidRPr="00E4142D" w:rsidRDefault="00E4142D" w:rsidP="005039FB">
      <w:pPr>
        <w:pStyle w:val="EndNoteBibliography"/>
        <w:spacing w:after="0"/>
        <w:ind w:left="720" w:hanging="720"/>
      </w:pPr>
      <w:r w:rsidRPr="00E4142D">
        <w:t>13.</w:t>
      </w:r>
      <w:r w:rsidRPr="00E4142D">
        <w:tab/>
      </w:r>
      <w:r w:rsidR="005039FB" w:rsidRPr="005039FB">
        <w:t xml:space="preserve">Arsenakis I, Boyen F, Haesebrouck F, Maes DGD. Autogenous vaccination reduces antimicrobial usage and mortality rates in a herd facing severe exudative epidermitis outbreaks in weaned pigs. </w:t>
      </w:r>
      <w:r w:rsidR="005039FB" w:rsidRPr="005039FB">
        <w:rPr>
          <w:i/>
          <w:iCs/>
        </w:rPr>
        <w:t>Vet Rec</w:t>
      </w:r>
      <w:r w:rsidR="005039FB" w:rsidRPr="005039FB">
        <w:t>. 2018;182(26):744. https://doi.org/10.1136/vr.104720</w:t>
      </w:r>
    </w:p>
    <w:p w14:paraId="039F8DAB" w14:textId="731B7067" w:rsidR="00E4142D" w:rsidRPr="00E4142D" w:rsidRDefault="00E4142D" w:rsidP="005039FB">
      <w:pPr>
        <w:pStyle w:val="EndNoteBibliography"/>
        <w:ind w:left="720" w:hanging="720"/>
      </w:pPr>
      <w:r w:rsidRPr="00E4142D">
        <w:t>14.</w:t>
      </w:r>
      <w:r w:rsidRPr="00E4142D">
        <w:tab/>
      </w:r>
      <w:r w:rsidR="005039FB" w:rsidRPr="005039FB">
        <w:t xml:space="preserve">von Wintersdorff CJH, Penders J, van Niekerk JM, Mills ND, Majumder S, van Alphen LB, et al. Dissemination of antimicrobial resistance in microbial ecosystems through horizontal gene transfer. </w:t>
      </w:r>
      <w:r w:rsidR="005039FB" w:rsidRPr="005039FB">
        <w:rPr>
          <w:i/>
          <w:iCs/>
        </w:rPr>
        <w:t>Front Microbiol</w:t>
      </w:r>
      <w:r w:rsidR="005039FB" w:rsidRPr="005039FB">
        <w:t>. 2016;7:173. https://doi.org/10.3389/fmicb.2016.00173</w:t>
      </w:r>
    </w:p>
    <w:p w14:paraId="7E883AB9" w14:textId="032B6E50" w:rsidR="003B6FCF" w:rsidRDefault="003B6FCF" w:rsidP="006206D4">
      <w:pPr>
        <w:pStyle w:val="EndNoteBibliography"/>
        <w:spacing w:line="480" w:lineRule="auto"/>
        <w:ind w:left="720" w:hanging="720"/>
      </w:pPr>
    </w:p>
    <w:sectPr w:rsidR="003B6F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D8DF7" w14:textId="77777777" w:rsidR="00263586" w:rsidRDefault="00263586" w:rsidP="00411A77">
      <w:pPr>
        <w:spacing w:after="0" w:line="240" w:lineRule="auto"/>
      </w:pPr>
      <w:r>
        <w:separator/>
      </w:r>
    </w:p>
  </w:endnote>
  <w:endnote w:type="continuationSeparator" w:id="0">
    <w:p w14:paraId="271A59B1" w14:textId="77777777" w:rsidR="00263586" w:rsidRDefault="00263586" w:rsidP="00411A77">
      <w:pPr>
        <w:spacing w:after="0" w:line="240" w:lineRule="auto"/>
      </w:pPr>
      <w:r>
        <w:continuationSeparator/>
      </w:r>
    </w:p>
  </w:endnote>
  <w:endnote w:type="continuationNotice" w:id="1">
    <w:p w14:paraId="5E41808B" w14:textId="77777777" w:rsidR="00263586" w:rsidRDefault="00263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70A2" w14:textId="77777777" w:rsidR="00263586" w:rsidRDefault="00263586" w:rsidP="00411A77">
      <w:pPr>
        <w:spacing w:after="0" w:line="240" w:lineRule="auto"/>
      </w:pPr>
      <w:r>
        <w:separator/>
      </w:r>
    </w:p>
  </w:footnote>
  <w:footnote w:type="continuationSeparator" w:id="0">
    <w:p w14:paraId="134D7A15" w14:textId="77777777" w:rsidR="00263586" w:rsidRDefault="00263586" w:rsidP="00411A77">
      <w:pPr>
        <w:spacing w:after="0" w:line="240" w:lineRule="auto"/>
      </w:pPr>
      <w:r>
        <w:continuationSeparator/>
      </w:r>
    </w:p>
  </w:footnote>
  <w:footnote w:type="continuationNotice" w:id="1">
    <w:p w14:paraId="2B17BAAC" w14:textId="77777777" w:rsidR="00263586" w:rsidRDefault="00263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022A" w14:textId="735D9988" w:rsidR="009F090E" w:rsidRDefault="009F090E">
    <w:pPr>
      <w:pStyle w:val="Header"/>
    </w:pPr>
    <w:r>
      <w:rPr>
        <w:noProof/>
      </w:rPr>
      <mc:AlternateContent>
        <mc:Choice Requires="wps">
          <w:drawing>
            <wp:anchor distT="0" distB="0" distL="0" distR="0" simplePos="0" relativeHeight="251659264" behindDoc="0" locked="0" layoutInCell="1" allowOverlap="1" wp14:anchorId="68D7F076" wp14:editId="6256CECA">
              <wp:simplePos x="635" y="635"/>
              <wp:positionH relativeFrom="page">
                <wp:align>left</wp:align>
              </wp:positionH>
              <wp:positionV relativeFrom="page">
                <wp:align>top</wp:align>
              </wp:positionV>
              <wp:extent cx="845185" cy="374650"/>
              <wp:effectExtent l="0" t="0" r="12065" b="6350"/>
              <wp:wrapNone/>
              <wp:docPr id="14958344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45185" cy="374650"/>
                      </a:xfrm>
                      <a:prstGeom prst="rect">
                        <a:avLst/>
                      </a:prstGeom>
                      <a:noFill/>
                      <a:ln>
                        <a:noFill/>
                      </a:ln>
                    </wps:spPr>
                    <wps:txbx>
                      <w:txbxContent>
                        <w:p w14:paraId="0D77A5EA" w14:textId="4224BC01" w:rsidR="009F090E" w:rsidRPr="009F090E" w:rsidRDefault="009F090E" w:rsidP="009F090E">
                          <w:pPr>
                            <w:spacing w:after="0"/>
                            <w:rPr>
                              <w:rFonts w:ascii="Calibri" w:eastAsia="Calibri" w:hAnsi="Calibri" w:cs="Calibri"/>
                              <w:noProof/>
                              <w:color w:val="008000"/>
                              <w:szCs w:val="22"/>
                            </w:rPr>
                          </w:pPr>
                          <w:r w:rsidRPr="009F090E">
                            <w:rPr>
                              <w:rFonts w:ascii="Calibri" w:eastAsia="Calibri" w:hAnsi="Calibri" w:cs="Calibri"/>
                              <w:noProof/>
                              <w:color w:val="008000"/>
                              <w:szCs w:val="22"/>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D7F076" id="_x0000_t202" coordsize="21600,21600" o:spt="202" path="m,l,21600r21600,l21600,xe">
              <v:stroke joinstyle="miter"/>
              <v:path gradientshapeok="t" o:connecttype="rect"/>
            </v:shapetype>
            <v:shape id="Text Box 2" o:spid="_x0000_s1026" type="#_x0000_t202" alt="[OFFICIAL]" style="position:absolute;margin-left:0;margin-top:0;width:66.55pt;height:2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" filled="f" stroked="f">
              <v:textbox style="mso-fit-shape-to-text:t" inset="20pt,15pt,0,0">
                <w:txbxContent>
                  <w:p w14:paraId="0D77A5EA" w14:textId="4224BC01" w:rsidR="009F090E" w:rsidRPr="009F090E" w:rsidRDefault="009F090E" w:rsidP="009F090E">
                    <w:pPr>
                      <w:spacing w:after="0"/>
                      <w:rPr>
                        <w:rFonts w:ascii="Calibri" w:eastAsia="Calibri" w:hAnsi="Calibri" w:cs="Calibri"/>
                        <w:noProof/>
                        <w:color w:val="008000"/>
                        <w:szCs w:val="22"/>
                      </w:rPr>
                    </w:pPr>
                    <w:r w:rsidRPr="009F090E">
                      <w:rPr>
                        <w:rFonts w:ascii="Calibri" w:eastAsia="Calibri" w:hAnsi="Calibri" w:cs="Calibri"/>
                        <w:noProof/>
                        <w:color w:val="008000"/>
                        <w:szCs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8B42" w14:textId="13444C44" w:rsidR="009F090E" w:rsidRDefault="009F090E">
    <w:pPr>
      <w:pStyle w:val="Header"/>
    </w:pPr>
    <w:r>
      <w:rPr>
        <w:noProof/>
      </w:rPr>
      <mc:AlternateContent>
        <mc:Choice Requires="wps">
          <w:drawing>
            <wp:anchor distT="0" distB="0" distL="0" distR="0" simplePos="0" relativeHeight="251657216" behindDoc="0" locked="0" layoutInCell="1" allowOverlap="1" wp14:anchorId="3E2E8C9E" wp14:editId="6A001E97">
              <wp:simplePos x="635" y="635"/>
              <wp:positionH relativeFrom="page">
                <wp:align>left</wp:align>
              </wp:positionH>
              <wp:positionV relativeFrom="page">
                <wp:align>top</wp:align>
              </wp:positionV>
              <wp:extent cx="845185" cy="374650"/>
              <wp:effectExtent l="0" t="0" r="12065" b="6350"/>
              <wp:wrapNone/>
              <wp:docPr id="17913654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45185" cy="374650"/>
                      </a:xfrm>
                      <a:prstGeom prst="rect">
                        <a:avLst/>
                      </a:prstGeom>
                      <a:noFill/>
                      <a:ln>
                        <a:noFill/>
                      </a:ln>
                    </wps:spPr>
                    <wps:txbx>
                      <w:txbxContent>
                        <w:p w14:paraId="529FAE28" w14:textId="52E91D81" w:rsidR="009F090E" w:rsidRPr="009F090E" w:rsidRDefault="009F090E" w:rsidP="009F090E">
                          <w:pPr>
                            <w:spacing w:after="0"/>
                            <w:rPr>
                              <w:rFonts w:ascii="Calibri" w:eastAsia="Calibri" w:hAnsi="Calibri" w:cs="Calibri"/>
                              <w:noProof/>
                              <w:color w:val="008000"/>
                              <w:szCs w:val="22"/>
                            </w:rPr>
                          </w:pPr>
                          <w:r w:rsidRPr="009F090E">
                            <w:rPr>
                              <w:rFonts w:ascii="Calibri" w:eastAsia="Calibri" w:hAnsi="Calibri" w:cs="Calibri"/>
                              <w:noProof/>
                              <w:color w:val="008000"/>
                              <w:szCs w:val="22"/>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2E8C9E" id="_x0000_t202" coordsize="21600,21600" o:spt="202" path="m,l,21600r21600,l21600,xe">
              <v:stroke joinstyle="miter"/>
              <v:path gradientshapeok="t" o:connecttype="rect"/>
            </v:shapetype>
            <v:shape id="Text Box 1" o:spid="_x0000_s1027" type="#_x0000_t202" alt="[OFFICIAL]" style="position:absolute;margin-left:0;margin-top:0;width:66.55pt;height:29.5pt;z-index:251657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" filled="f" stroked="f">
              <v:textbox style="mso-fit-shape-to-text:t" inset="20pt,15pt,0,0">
                <w:txbxContent>
                  <w:p w14:paraId="529FAE28" w14:textId="52E91D81" w:rsidR="009F090E" w:rsidRPr="009F090E" w:rsidRDefault="009F090E" w:rsidP="009F090E">
                    <w:pPr>
                      <w:spacing w:after="0"/>
                      <w:rPr>
                        <w:rFonts w:ascii="Calibri" w:eastAsia="Calibri" w:hAnsi="Calibri" w:cs="Calibri"/>
                        <w:noProof/>
                        <w:color w:val="008000"/>
                        <w:szCs w:val="22"/>
                      </w:rPr>
                    </w:pPr>
                    <w:r w:rsidRPr="009F090E">
                      <w:rPr>
                        <w:rFonts w:ascii="Calibri" w:eastAsia="Calibri" w:hAnsi="Calibri" w:cs="Calibri"/>
                        <w:noProof/>
                        <w:color w:val="008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22B9F"/>
    <w:multiLevelType w:val="hybridMultilevel"/>
    <w:tmpl w:val="4214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482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wpt2wt2dseavex2apvwwvmste50pv599ts&quot;&gt;Alec Truswell Doctor of Philosophy&lt;record-ids&gt;&lt;item&gt;194&lt;/item&gt;&lt;item&gt;195&lt;/item&gt;&lt;item&gt;196&lt;/item&gt;&lt;item&gt;197&lt;/item&gt;&lt;item&gt;206&lt;/item&gt;&lt;item&gt;207&lt;/item&gt;&lt;item&gt;208&lt;/item&gt;&lt;item&gt;212&lt;/item&gt;&lt;item&gt;246&lt;/item&gt;&lt;item&gt;249&lt;/item&gt;&lt;item&gt;251&lt;/item&gt;&lt;item&gt;256&lt;/item&gt;&lt;item&gt;385&lt;/item&gt;&lt;item&gt;386&lt;/item&gt;&lt;/record-ids&gt;&lt;/item&gt;&lt;/Libraries&gt;"/>
  </w:docVars>
  <w:rsids>
    <w:rsidRoot w:val="00577E7C"/>
    <w:rsid w:val="00000E27"/>
    <w:rsid w:val="000018DC"/>
    <w:rsid w:val="00006048"/>
    <w:rsid w:val="00007591"/>
    <w:rsid w:val="000076F5"/>
    <w:rsid w:val="0001124F"/>
    <w:rsid w:val="00016415"/>
    <w:rsid w:val="000203CC"/>
    <w:rsid w:val="00020703"/>
    <w:rsid w:val="00026698"/>
    <w:rsid w:val="00027BFC"/>
    <w:rsid w:val="00031985"/>
    <w:rsid w:val="00032064"/>
    <w:rsid w:val="00032DDE"/>
    <w:rsid w:val="00033023"/>
    <w:rsid w:val="000335DF"/>
    <w:rsid w:val="00037324"/>
    <w:rsid w:val="000458B0"/>
    <w:rsid w:val="0004626D"/>
    <w:rsid w:val="00051F96"/>
    <w:rsid w:val="00055C23"/>
    <w:rsid w:val="00057E54"/>
    <w:rsid w:val="0006509C"/>
    <w:rsid w:val="000731F2"/>
    <w:rsid w:val="0007431D"/>
    <w:rsid w:val="00076619"/>
    <w:rsid w:val="00082B73"/>
    <w:rsid w:val="00083029"/>
    <w:rsid w:val="00083366"/>
    <w:rsid w:val="00085411"/>
    <w:rsid w:val="00086B9E"/>
    <w:rsid w:val="0009536F"/>
    <w:rsid w:val="00095E65"/>
    <w:rsid w:val="000A2E78"/>
    <w:rsid w:val="000A3BFB"/>
    <w:rsid w:val="000A67E7"/>
    <w:rsid w:val="000A74C3"/>
    <w:rsid w:val="000A7BD8"/>
    <w:rsid w:val="000B5306"/>
    <w:rsid w:val="000B7F38"/>
    <w:rsid w:val="000C192B"/>
    <w:rsid w:val="000C7642"/>
    <w:rsid w:val="000D22BD"/>
    <w:rsid w:val="000D4E43"/>
    <w:rsid w:val="000E15ED"/>
    <w:rsid w:val="000E2088"/>
    <w:rsid w:val="000E4A6A"/>
    <w:rsid w:val="000E5658"/>
    <w:rsid w:val="000E7334"/>
    <w:rsid w:val="000F5D81"/>
    <w:rsid w:val="000F7E39"/>
    <w:rsid w:val="00103423"/>
    <w:rsid w:val="00104904"/>
    <w:rsid w:val="00106D70"/>
    <w:rsid w:val="00107E86"/>
    <w:rsid w:val="00121A22"/>
    <w:rsid w:val="00124626"/>
    <w:rsid w:val="00124C5B"/>
    <w:rsid w:val="00130BB7"/>
    <w:rsid w:val="001318D2"/>
    <w:rsid w:val="00137A6A"/>
    <w:rsid w:val="00152E5A"/>
    <w:rsid w:val="00160A47"/>
    <w:rsid w:val="00161887"/>
    <w:rsid w:val="001643B5"/>
    <w:rsid w:val="00167FB6"/>
    <w:rsid w:val="00170212"/>
    <w:rsid w:val="00170F1E"/>
    <w:rsid w:val="001753C5"/>
    <w:rsid w:val="0017584D"/>
    <w:rsid w:val="00175FAB"/>
    <w:rsid w:val="001871AD"/>
    <w:rsid w:val="001917BD"/>
    <w:rsid w:val="0019576D"/>
    <w:rsid w:val="001A1E2D"/>
    <w:rsid w:val="001A24B3"/>
    <w:rsid w:val="001A5423"/>
    <w:rsid w:val="001B32CB"/>
    <w:rsid w:val="001B775B"/>
    <w:rsid w:val="001C2C55"/>
    <w:rsid w:val="001C59B4"/>
    <w:rsid w:val="001C5FD3"/>
    <w:rsid w:val="001C63D2"/>
    <w:rsid w:val="001D174B"/>
    <w:rsid w:val="001D204E"/>
    <w:rsid w:val="001D3290"/>
    <w:rsid w:val="001D37A1"/>
    <w:rsid w:val="001D4EF8"/>
    <w:rsid w:val="001D6B9A"/>
    <w:rsid w:val="001D7F11"/>
    <w:rsid w:val="001E0997"/>
    <w:rsid w:val="001E15D7"/>
    <w:rsid w:val="001E699D"/>
    <w:rsid w:val="001F058C"/>
    <w:rsid w:val="001F3118"/>
    <w:rsid w:val="001F39B0"/>
    <w:rsid w:val="001F4E11"/>
    <w:rsid w:val="00204B6F"/>
    <w:rsid w:val="00210561"/>
    <w:rsid w:val="00212C1C"/>
    <w:rsid w:val="002173FE"/>
    <w:rsid w:val="00217F45"/>
    <w:rsid w:val="002239B5"/>
    <w:rsid w:val="00224D0C"/>
    <w:rsid w:val="002271DA"/>
    <w:rsid w:val="002340FD"/>
    <w:rsid w:val="00234648"/>
    <w:rsid w:val="002457DA"/>
    <w:rsid w:val="00247C72"/>
    <w:rsid w:val="0025083D"/>
    <w:rsid w:val="00250C46"/>
    <w:rsid w:val="00251909"/>
    <w:rsid w:val="00252224"/>
    <w:rsid w:val="00252524"/>
    <w:rsid w:val="002538AC"/>
    <w:rsid w:val="00254365"/>
    <w:rsid w:val="00254926"/>
    <w:rsid w:val="00257F29"/>
    <w:rsid w:val="00263586"/>
    <w:rsid w:val="00264943"/>
    <w:rsid w:val="002754E0"/>
    <w:rsid w:val="00276BAA"/>
    <w:rsid w:val="00282671"/>
    <w:rsid w:val="0028348F"/>
    <w:rsid w:val="0029009E"/>
    <w:rsid w:val="00292011"/>
    <w:rsid w:val="00295AFE"/>
    <w:rsid w:val="00296B15"/>
    <w:rsid w:val="002A00CC"/>
    <w:rsid w:val="002A1927"/>
    <w:rsid w:val="002A2828"/>
    <w:rsid w:val="002A72ED"/>
    <w:rsid w:val="002C1990"/>
    <w:rsid w:val="002C1AD0"/>
    <w:rsid w:val="002C1D4F"/>
    <w:rsid w:val="002C3151"/>
    <w:rsid w:val="002C31D6"/>
    <w:rsid w:val="002C3CB5"/>
    <w:rsid w:val="002D049F"/>
    <w:rsid w:val="002D10C6"/>
    <w:rsid w:val="002D3365"/>
    <w:rsid w:val="002D6411"/>
    <w:rsid w:val="002D752A"/>
    <w:rsid w:val="002D7C38"/>
    <w:rsid w:val="002E17C9"/>
    <w:rsid w:val="002E6B8A"/>
    <w:rsid w:val="002F34F8"/>
    <w:rsid w:val="002F3AA2"/>
    <w:rsid w:val="003011C9"/>
    <w:rsid w:val="00305492"/>
    <w:rsid w:val="00311B84"/>
    <w:rsid w:val="00312375"/>
    <w:rsid w:val="003132BA"/>
    <w:rsid w:val="0031396F"/>
    <w:rsid w:val="00314ACA"/>
    <w:rsid w:val="00314B59"/>
    <w:rsid w:val="00324FD1"/>
    <w:rsid w:val="00325A5D"/>
    <w:rsid w:val="00326B14"/>
    <w:rsid w:val="00330A6A"/>
    <w:rsid w:val="003321CB"/>
    <w:rsid w:val="003321F2"/>
    <w:rsid w:val="0033401D"/>
    <w:rsid w:val="0033501C"/>
    <w:rsid w:val="00336D6D"/>
    <w:rsid w:val="0033709B"/>
    <w:rsid w:val="00341016"/>
    <w:rsid w:val="00342930"/>
    <w:rsid w:val="00345032"/>
    <w:rsid w:val="0035769A"/>
    <w:rsid w:val="00371C5B"/>
    <w:rsid w:val="00374351"/>
    <w:rsid w:val="00374777"/>
    <w:rsid w:val="00374FD9"/>
    <w:rsid w:val="00376F0F"/>
    <w:rsid w:val="003813A4"/>
    <w:rsid w:val="0038260F"/>
    <w:rsid w:val="0038518E"/>
    <w:rsid w:val="00385A8A"/>
    <w:rsid w:val="00385DDD"/>
    <w:rsid w:val="00387148"/>
    <w:rsid w:val="00391B33"/>
    <w:rsid w:val="00392B26"/>
    <w:rsid w:val="00395070"/>
    <w:rsid w:val="00395A84"/>
    <w:rsid w:val="003968DD"/>
    <w:rsid w:val="00397590"/>
    <w:rsid w:val="00397F5A"/>
    <w:rsid w:val="003A05D2"/>
    <w:rsid w:val="003A1007"/>
    <w:rsid w:val="003A7A53"/>
    <w:rsid w:val="003B0623"/>
    <w:rsid w:val="003B2AEC"/>
    <w:rsid w:val="003B6FCF"/>
    <w:rsid w:val="003C1379"/>
    <w:rsid w:val="003C1FFD"/>
    <w:rsid w:val="003C2BB8"/>
    <w:rsid w:val="003C4A9B"/>
    <w:rsid w:val="003D0113"/>
    <w:rsid w:val="003D1FC1"/>
    <w:rsid w:val="003D5898"/>
    <w:rsid w:val="003D5E2E"/>
    <w:rsid w:val="003D63A5"/>
    <w:rsid w:val="003D6D02"/>
    <w:rsid w:val="003D71BA"/>
    <w:rsid w:val="003E0C78"/>
    <w:rsid w:val="003E273B"/>
    <w:rsid w:val="003E282F"/>
    <w:rsid w:val="003E2A43"/>
    <w:rsid w:val="003F09F3"/>
    <w:rsid w:val="003F7E6C"/>
    <w:rsid w:val="004008A8"/>
    <w:rsid w:val="00402376"/>
    <w:rsid w:val="00405B67"/>
    <w:rsid w:val="004068D1"/>
    <w:rsid w:val="00407FD3"/>
    <w:rsid w:val="00411A77"/>
    <w:rsid w:val="00412FCB"/>
    <w:rsid w:val="00413267"/>
    <w:rsid w:val="0041635F"/>
    <w:rsid w:val="004244B0"/>
    <w:rsid w:val="0042633C"/>
    <w:rsid w:val="00427DF3"/>
    <w:rsid w:val="004324ED"/>
    <w:rsid w:val="00435180"/>
    <w:rsid w:val="004376E6"/>
    <w:rsid w:val="004466B4"/>
    <w:rsid w:val="004548B9"/>
    <w:rsid w:val="004624C5"/>
    <w:rsid w:val="00464D7B"/>
    <w:rsid w:val="00465027"/>
    <w:rsid w:val="00465C0D"/>
    <w:rsid w:val="00471D06"/>
    <w:rsid w:val="00472951"/>
    <w:rsid w:val="004733BB"/>
    <w:rsid w:val="004743EA"/>
    <w:rsid w:val="00480054"/>
    <w:rsid w:val="0048053B"/>
    <w:rsid w:val="00481489"/>
    <w:rsid w:val="0048224C"/>
    <w:rsid w:val="0048401E"/>
    <w:rsid w:val="00484B1E"/>
    <w:rsid w:val="00486E3A"/>
    <w:rsid w:val="00487301"/>
    <w:rsid w:val="00495356"/>
    <w:rsid w:val="004979B1"/>
    <w:rsid w:val="004A2E47"/>
    <w:rsid w:val="004A32DC"/>
    <w:rsid w:val="004A420F"/>
    <w:rsid w:val="004B303A"/>
    <w:rsid w:val="004B4409"/>
    <w:rsid w:val="004B6D41"/>
    <w:rsid w:val="004B74A2"/>
    <w:rsid w:val="004C34E6"/>
    <w:rsid w:val="004C3618"/>
    <w:rsid w:val="004D0825"/>
    <w:rsid w:val="004D47B9"/>
    <w:rsid w:val="004E41BF"/>
    <w:rsid w:val="004F3710"/>
    <w:rsid w:val="005039FB"/>
    <w:rsid w:val="00503EC0"/>
    <w:rsid w:val="0050785C"/>
    <w:rsid w:val="00511D05"/>
    <w:rsid w:val="0051613A"/>
    <w:rsid w:val="00516DA5"/>
    <w:rsid w:val="00521BA8"/>
    <w:rsid w:val="00523EB6"/>
    <w:rsid w:val="005278CD"/>
    <w:rsid w:val="00530135"/>
    <w:rsid w:val="005316F1"/>
    <w:rsid w:val="00532B1A"/>
    <w:rsid w:val="00536E7E"/>
    <w:rsid w:val="00537F29"/>
    <w:rsid w:val="005400FE"/>
    <w:rsid w:val="00541868"/>
    <w:rsid w:val="005441B4"/>
    <w:rsid w:val="00544643"/>
    <w:rsid w:val="00546001"/>
    <w:rsid w:val="00546C79"/>
    <w:rsid w:val="00547F35"/>
    <w:rsid w:val="00551BCB"/>
    <w:rsid w:val="0055314B"/>
    <w:rsid w:val="00566F31"/>
    <w:rsid w:val="0057208C"/>
    <w:rsid w:val="00577883"/>
    <w:rsid w:val="00577E7C"/>
    <w:rsid w:val="005857E0"/>
    <w:rsid w:val="005A1294"/>
    <w:rsid w:val="005B13AF"/>
    <w:rsid w:val="005B2ADE"/>
    <w:rsid w:val="005B55F7"/>
    <w:rsid w:val="005B5A75"/>
    <w:rsid w:val="005B6981"/>
    <w:rsid w:val="005C146E"/>
    <w:rsid w:val="005C1E9A"/>
    <w:rsid w:val="005C2109"/>
    <w:rsid w:val="005C23B3"/>
    <w:rsid w:val="005C262E"/>
    <w:rsid w:val="005C4504"/>
    <w:rsid w:val="005C5994"/>
    <w:rsid w:val="005D0137"/>
    <w:rsid w:val="005D1486"/>
    <w:rsid w:val="005D478F"/>
    <w:rsid w:val="005E3A95"/>
    <w:rsid w:val="005E5218"/>
    <w:rsid w:val="005E543D"/>
    <w:rsid w:val="005E6313"/>
    <w:rsid w:val="005E7DEB"/>
    <w:rsid w:val="005F1155"/>
    <w:rsid w:val="005F5048"/>
    <w:rsid w:val="005F63DF"/>
    <w:rsid w:val="005F73E3"/>
    <w:rsid w:val="00603347"/>
    <w:rsid w:val="00603A29"/>
    <w:rsid w:val="006128F8"/>
    <w:rsid w:val="00612DEF"/>
    <w:rsid w:val="00614AD3"/>
    <w:rsid w:val="00614C92"/>
    <w:rsid w:val="00614E7F"/>
    <w:rsid w:val="006206D4"/>
    <w:rsid w:val="00621820"/>
    <w:rsid w:val="00621FBA"/>
    <w:rsid w:val="00623127"/>
    <w:rsid w:val="00625D7F"/>
    <w:rsid w:val="00625EE9"/>
    <w:rsid w:val="006262FC"/>
    <w:rsid w:val="0063171D"/>
    <w:rsid w:val="00635DC5"/>
    <w:rsid w:val="00636783"/>
    <w:rsid w:val="00637722"/>
    <w:rsid w:val="00642E09"/>
    <w:rsid w:val="00643A8E"/>
    <w:rsid w:val="00643B22"/>
    <w:rsid w:val="00644473"/>
    <w:rsid w:val="00647802"/>
    <w:rsid w:val="00652039"/>
    <w:rsid w:val="00653885"/>
    <w:rsid w:val="006556E7"/>
    <w:rsid w:val="006562A4"/>
    <w:rsid w:val="006637F7"/>
    <w:rsid w:val="0066393E"/>
    <w:rsid w:val="00664921"/>
    <w:rsid w:val="00674E60"/>
    <w:rsid w:val="00681C1C"/>
    <w:rsid w:val="00683C96"/>
    <w:rsid w:val="00693D5E"/>
    <w:rsid w:val="0069664B"/>
    <w:rsid w:val="006A5D92"/>
    <w:rsid w:val="006A7C18"/>
    <w:rsid w:val="006B08A8"/>
    <w:rsid w:val="006B0FFD"/>
    <w:rsid w:val="006B1340"/>
    <w:rsid w:val="006B1979"/>
    <w:rsid w:val="006B424F"/>
    <w:rsid w:val="006B68DC"/>
    <w:rsid w:val="006C0315"/>
    <w:rsid w:val="006C11FC"/>
    <w:rsid w:val="006C2A8A"/>
    <w:rsid w:val="006C6A0C"/>
    <w:rsid w:val="006C6F47"/>
    <w:rsid w:val="006D02C4"/>
    <w:rsid w:val="006D18CA"/>
    <w:rsid w:val="006E55B6"/>
    <w:rsid w:val="006F1F3C"/>
    <w:rsid w:val="006F622A"/>
    <w:rsid w:val="006F7129"/>
    <w:rsid w:val="006F7CDE"/>
    <w:rsid w:val="007002FE"/>
    <w:rsid w:val="00701EC3"/>
    <w:rsid w:val="00723006"/>
    <w:rsid w:val="00735D22"/>
    <w:rsid w:val="00740E6B"/>
    <w:rsid w:val="007410B5"/>
    <w:rsid w:val="007419A3"/>
    <w:rsid w:val="007549A5"/>
    <w:rsid w:val="00756C01"/>
    <w:rsid w:val="00761B19"/>
    <w:rsid w:val="00762C2C"/>
    <w:rsid w:val="007632A6"/>
    <w:rsid w:val="00770E81"/>
    <w:rsid w:val="00772EBA"/>
    <w:rsid w:val="00774AB3"/>
    <w:rsid w:val="00775DC4"/>
    <w:rsid w:val="007819B4"/>
    <w:rsid w:val="00781EE6"/>
    <w:rsid w:val="0078230F"/>
    <w:rsid w:val="00787D23"/>
    <w:rsid w:val="00790AB0"/>
    <w:rsid w:val="007924C3"/>
    <w:rsid w:val="0079405A"/>
    <w:rsid w:val="0079536B"/>
    <w:rsid w:val="007A1F68"/>
    <w:rsid w:val="007A2696"/>
    <w:rsid w:val="007A3224"/>
    <w:rsid w:val="007A50FC"/>
    <w:rsid w:val="007A6EA1"/>
    <w:rsid w:val="007B1C33"/>
    <w:rsid w:val="007C1809"/>
    <w:rsid w:val="007C1ED9"/>
    <w:rsid w:val="007D2EBC"/>
    <w:rsid w:val="007D4199"/>
    <w:rsid w:val="007E1E5D"/>
    <w:rsid w:val="007E21B0"/>
    <w:rsid w:val="007E3419"/>
    <w:rsid w:val="007F3825"/>
    <w:rsid w:val="007F3D93"/>
    <w:rsid w:val="007F609C"/>
    <w:rsid w:val="00800244"/>
    <w:rsid w:val="0080025B"/>
    <w:rsid w:val="00800C15"/>
    <w:rsid w:val="00802A0A"/>
    <w:rsid w:val="00807E22"/>
    <w:rsid w:val="00810194"/>
    <w:rsid w:val="0081425F"/>
    <w:rsid w:val="00815377"/>
    <w:rsid w:val="00823F1B"/>
    <w:rsid w:val="008240C5"/>
    <w:rsid w:val="0082486F"/>
    <w:rsid w:val="008312C2"/>
    <w:rsid w:val="008313FF"/>
    <w:rsid w:val="00831526"/>
    <w:rsid w:val="0083223E"/>
    <w:rsid w:val="00833F9C"/>
    <w:rsid w:val="008363EF"/>
    <w:rsid w:val="0084215C"/>
    <w:rsid w:val="008506FC"/>
    <w:rsid w:val="00851C3F"/>
    <w:rsid w:val="008531EE"/>
    <w:rsid w:val="00854F84"/>
    <w:rsid w:val="008550C9"/>
    <w:rsid w:val="00855AE7"/>
    <w:rsid w:val="0085657F"/>
    <w:rsid w:val="008572AC"/>
    <w:rsid w:val="00862D67"/>
    <w:rsid w:val="00863EBF"/>
    <w:rsid w:val="008661DD"/>
    <w:rsid w:val="00866E0F"/>
    <w:rsid w:val="00867656"/>
    <w:rsid w:val="008704EA"/>
    <w:rsid w:val="00874867"/>
    <w:rsid w:val="00880CC2"/>
    <w:rsid w:val="00886528"/>
    <w:rsid w:val="008867D9"/>
    <w:rsid w:val="00886EB0"/>
    <w:rsid w:val="0089233A"/>
    <w:rsid w:val="00894FB1"/>
    <w:rsid w:val="00896DA2"/>
    <w:rsid w:val="008A24EB"/>
    <w:rsid w:val="008B2B4C"/>
    <w:rsid w:val="008B3ADF"/>
    <w:rsid w:val="008B4ED0"/>
    <w:rsid w:val="008B6354"/>
    <w:rsid w:val="008B7EDE"/>
    <w:rsid w:val="008C2498"/>
    <w:rsid w:val="008D16DF"/>
    <w:rsid w:val="008D7D6D"/>
    <w:rsid w:val="008E080F"/>
    <w:rsid w:val="008E7CD6"/>
    <w:rsid w:val="008F7D05"/>
    <w:rsid w:val="00911C53"/>
    <w:rsid w:val="009120F1"/>
    <w:rsid w:val="00912624"/>
    <w:rsid w:val="009137E4"/>
    <w:rsid w:val="00916488"/>
    <w:rsid w:val="0092039A"/>
    <w:rsid w:val="0092039D"/>
    <w:rsid w:val="00921442"/>
    <w:rsid w:val="00923E46"/>
    <w:rsid w:val="00924491"/>
    <w:rsid w:val="00931426"/>
    <w:rsid w:val="00932845"/>
    <w:rsid w:val="00932AE7"/>
    <w:rsid w:val="00933C2A"/>
    <w:rsid w:val="0093451E"/>
    <w:rsid w:val="009358C4"/>
    <w:rsid w:val="00937253"/>
    <w:rsid w:val="00937ABF"/>
    <w:rsid w:val="00940C63"/>
    <w:rsid w:val="00941468"/>
    <w:rsid w:val="00943CDA"/>
    <w:rsid w:val="0094669D"/>
    <w:rsid w:val="00946F4B"/>
    <w:rsid w:val="009504DB"/>
    <w:rsid w:val="00950802"/>
    <w:rsid w:val="00951855"/>
    <w:rsid w:val="00951CD2"/>
    <w:rsid w:val="00952D14"/>
    <w:rsid w:val="009547CC"/>
    <w:rsid w:val="00957DF4"/>
    <w:rsid w:val="00960501"/>
    <w:rsid w:val="00960EED"/>
    <w:rsid w:val="009673E7"/>
    <w:rsid w:val="00970C53"/>
    <w:rsid w:val="0098779A"/>
    <w:rsid w:val="009903B1"/>
    <w:rsid w:val="00990B0D"/>
    <w:rsid w:val="00990C66"/>
    <w:rsid w:val="00992F2E"/>
    <w:rsid w:val="00996520"/>
    <w:rsid w:val="009975EA"/>
    <w:rsid w:val="009A09BD"/>
    <w:rsid w:val="009A13F3"/>
    <w:rsid w:val="009A3D36"/>
    <w:rsid w:val="009A4752"/>
    <w:rsid w:val="009A52E9"/>
    <w:rsid w:val="009B4705"/>
    <w:rsid w:val="009B4D30"/>
    <w:rsid w:val="009B5050"/>
    <w:rsid w:val="009B62A4"/>
    <w:rsid w:val="009C432E"/>
    <w:rsid w:val="009D2EB9"/>
    <w:rsid w:val="009D4134"/>
    <w:rsid w:val="009D4DA4"/>
    <w:rsid w:val="009D622F"/>
    <w:rsid w:val="009D74A5"/>
    <w:rsid w:val="009E5363"/>
    <w:rsid w:val="009E5F12"/>
    <w:rsid w:val="009E66A0"/>
    <w:rsid w:val="009E7134"/>
    <w:rsid w:val="009F090E"/>
    <w:rsid w:val="009F1B19"/>
    <w:rsid w:val="009F226D"/>
    <w:rsid w:val="009F72CF"/>
    <w:rsid w:val="00A10E2D"/>
    <w:rsid w:val="00A20762"/>
    <w:rsid w:val="00A210DD"/>
    <w:rsid w:val="00A2584D"/>
    <w:rsid w:val="00A26479"/>
    <w:rsid w:val="00A27FF0"/>
    <w:rsid w:val="00A30E3E"/>
    <w:rsid w:val="00A30EE2"/>
    <w:rsid w:val="00A318BA"/>
    <w:rsid w:val="00A31C74"/>
    <w:rsid w:val="00A33D2A"/>
    <w:rsid w:val="00A456C4"/>
    <w:rsid w:val="00A45DBF"/>
    <w:rsid w:val="00A52C88"/>
    <w:rsid w:val="00A565E7"/>
    <w:rsid w:val="00A56B1F"/>
    <w:rsid w:val="00A73E53"/>
    <w:rsid w:val="00A748E9"/>
    <w:rsid w:val="00A74975"/>
    <w:rsid w:val="00A74C72"/>
    <w:rsid w:val="00A803CB"/>
    <w:rsid w:val="00A81D0F"/>
    <w:rsid w:val="00A833F4"/>
    <w:rsid w:val="00A83DF5"/>
    <w:rsid w:val="00A843C2"/>
    <w:rsid w:val="00A8683E"/>
    <w:rsid w:val="00A877F3"/>
    <w:rsid w:val="00A92309"/>
    <w:rsid w:val="00AA08FE"/>
    <w:rsid w:val="00AA09C3"/>
    <w:rsid w:val="00AA3D34"/>
    <w:rsid w:val="00AB0FF8"/>
    <w:rsid w:val="00AB1054"/>
    <w:rsid w:val="00AB1B26"/>
    <w:rsid w:val="00AB3682"/>
    <w:rsid w:val="00AB4DCF"/>
    <w:rsid w:val="00AC52FE"/>
    <w:rsid w:val="00AC7292"/>
    <w:rsid w:val="00AD5344"/>
    <w:rsid w:val="00AD6757"/>
    <w:rsid w:val="00AE032E"/>
    <w:rsid w:val="00AE2308"/>
    <w:rsid w:val="00AE4A25"/>
    <w:rsid w:val="00AE5FB4"/>
    <w:rsid w:val="00AE7FA3"/>
    <w:rsid w:val="00AF12B7"/>
    <w:rsid w:val="00AF21DB"/>
    <w:rsid w:val="00AF3DB3"/>
    <w:rsid w:val="00AF5F93"/>
    <w:rsid w:val="00AF6D3E"/>
    <w:rsid w:val="00AF7DCF"/>
    <w:rsid w:val="00B0629F"/>
    <w:rsid w:val="00B064A8"/>
    <w:rsid w:val="00B1177D"/>
    <w:rsid w:val="00B1227E"/>
    <w:rsid w:val="00B173C0"/>
    <w:rsid w:val="00B27533"/>
    <w:rsid w:val="00B32C9E"/>
    <w:rsid w:val="00B4309F"/>
    <w:rsid w:val="00B45C7E"/>
    <w:rsid w:val="00B51A4D"/>
    <w:rsid w:val="00B622CA"/>
    <w:rsid w:val="00B6739E"/>
    <w:rsid w:val="00B71AC0"/>
    <w:rsid w:val="00B74139"/>
    <w:rsid w:val="00B7568B"/>
    <w:rsid w:val="00B75C8E"/>
    <w:rsid w:val="00B76B77"/>
    <w:rsid w:val="00B809C0"/>
    <w:rsid w:val="00B80BC7"/>
    <w:rsid w:val="00B8333F"/>
    <w:rsid w:val="00B86FB9"/>
    <w:rsid w:val="00B872AB"/>
    <w:rsid w:val="00B9130A"/>
    <w:rsid w:val="00B91F55"/>
    <w:rsid w:val="00B9214C"/>
    <w:rsid w:val="00B931C0"/>
    <w:rsid w:val="00B94B1D"/>
    <w:rsid w:val="00BA667A"/>
    <w:rsid w:val="00BB3363"/>
    <w:rsid w:val="00BB377D"/>
    <w:rsid w:val="00BB3911"/>
    <w:rsid w:val="00BC304E"/>
    <w:rsid w:val="00BC35ED"/>
    <w:rsid w:val="00BC7125"/>
    <w:rsid w:val="00BD0092"/>
    <w:rsid w:val="00BD0C72"/>
    <w:rsid w:val="00BD1D4D"/>
    <w:rsid w:val="00BD43BE"/>
    <w:rsid w:val="00BD5E8B"/>
    <w:rsid w:val="00BD6AEE"/>
    <w:rsid w:val="00BD7B79"/>
    <w:rsid w:val="00BE01A0"/>
    <w:rsid w:val="00BE76D7"/>
    <w:rsid w:val="00BF05D8"/>
    <w:rsid w:val="00BF1BDE"/>
    <w:rsid w:val="00BF3520"/>
    <w:rsid w:val="00BF48F5"/>
    <w:rsid w:val="00BF562A"/>
    <w:rsid w:val="00BF611E"/>
    <w:rsid w:val="00BF78E6"/>
    <w:rsid w:val="00C036B6"/>
    <w:rsid w:val="00C06C2B"/>
    <w:rsid w:val="00C12CC6"/>
    <w:rsid w:val="00C15DBB"/>
    <w:rsid w:val="00C26F99"/>
    <w:rsid w:val="00C32804"/>
    <w:rsid w:val="00C335C2"/>
    <w:rsid w:val="00C362A6"/>
    <w:rsid w:val="00C379E5"/>
    <w:rsid w:val="00C40900"/>
    <w:rsid w:val="00C40D75"/>
    <w:rsid w:val="00C4128B"/>
    <w:rsid w:val="00C41304"/>
    <w:rsid w:val="00C42971"/>
    <w:rsid w:val="00C4377B"/>
    <w:rsid w:val="00C50189"/>
    <w:rsid w:val="00C507D1"/>
    <w:rsid w:val="00C510EF"/>
    <w:rsid w:val="00C5238C"/>
    <w:rsid w:val="00C55E6C"/>
    <w:rsid w:val="00C622BC"/>
    <w:rsid w:val="00C71D8E"/>
    <w:rsid w:val="00C71DA3"/>
    <w:rsid w:val="00C73B3F"/>
    <w:rsid w:val="00C77821"/>
    <w:rsid w:val="00C87CA7"/>
    <w:rsid w:val="00CA3206"/>
    <w:rsid w:val="00CA46BA"/>
    <w:rsid w:val="00CA6A1A"/>
    <w:rsid w:val="00CA7137"/>
    <w:rsid w:val="00CB7510"/>
    <w:rsid w:val="00CC0244"/>
    <w:rsid w:val="00CC1D91"/>
    <w:rsid w:val="00CC20AC"/>
    <w:rsid w:val="00CC221E"/>
    <w:rsid w:val="00CC255C"/>
    <w:rsid w:val="00CC3AB6"/>
    <w:rsid w:val="00CC66B5"/>
    <w:rsid w:val="00CD132D"/>
    <w:rsid w:val="00CD2446"/>
    <w:rsid w:val="00CD42F7"/>
    <w:rsid w:val="00CE34C2"/>
    <w:rsid w:val="00CE49A0"/>
    <w:rsid w:val="00CF01F5"/>
    <w:rsid w:val="00CF4529"/>
    <w:rsid w:val="00CF5607"/>
    <w:rsid w:val="00D02D1F"/>
    <w:rsid w:val="00D03514"/>
    <w:rsid w:val="00D1277F"/>
    <w:rsid w:val="00D1582C"/>
    <w:rsid w:val="00D173B9"/>
    <w:rsid w:val="00D1741E"/>
    <w:rsid w:val="00D17CAB"/>
    <w:rsid w:val="00D2076B"/>
    <w:rsid w:val="00D27612"/>
    <w:rsid w:val="00D277FE"/>
    <w:rsid w:val="00D344A0"/>
    <w:rsid w:val="00D407F5"/>
    <w:rsid w:val="00D40C17"/>
    <w:rsid w:val="00D41EE4"/>
    <w:rsid w:val="00D42A27"/>
    <w:rsid w:val="00D43A8B"/>
    <w:rsid w:val="00D45DAE"/>
    <w:rsid w:val="00D472FD"/>
    <w:rsid w:val="00D478B7"/>
    <w:rsid w:val="00D5179C"/>
    <w:rsid w:val="00D521E0"/>
    <w:rsid w:val="00D523BD"/>
    <w:rsid w:val="00D528DE"/>
    <w:rsid w:val="00D53262"/>
    <w:rsid w:val="00D5328F"/>
    <w:rsid w:val="00D533A9"/>
    <w:rsid w:val="00D53991"/>
    <w:rsid w:val="00D60F0F"/>
    <w:rsid w:val="00D6282F"/>
    <w:rsid w:val="00D62E20"/>
    <w:rsid w:val="00D6467D"/>
    <w:rsid w:val="00D729D6"/>
    <w:rsid w:val="00D734DC"/>
    <w:rsid w:val="00D75256"/>
    <w:rsid w:val="00D776F3"/>
    <w:rsid w:val="00D82142"/>
    <w:rsid w:val="00D82503"/>
    <w:rsid w:val="00D87FEE"/>
    <w:rsid w:val="00D927EA"/>
    <w:rsid w:val="00D92F70"/>
    <w:rsid w:val="00D9642E"/>
    <w:rsid w:val="00D96BFA"/>
    <w:rsid w:val="00D972ED"/>
    <w:rsid w:val="00DA2635"/>
    <w:rsid w:val="00DA2ED9"/>
    <w:rsid w:val="00DA65F2"/>
    <w:rsid w:val="00DA7B53"/>
    <w:rsid w:val="00DC03EE"/>
    <w:rsid w:val="00DC1EFE"/>
    <w:rsid w:val="00DC5ED9"/>
    <w:rsid w:val="00DD2F03"/>
    <w:rsid w:val="00DD3589"/>
    <w:rsid w:val="00DD48E3"/>
    <w:rsid w:val="00DE17F5"/>
    <w:rsid w:val="00DE3D22"/>
    <w:rsid w:val="00DE44CE"/>
    <w:rsid w:val="00DF0973"/>
    <w:rsid w:val="00DF185D"/>
    <w:rsid w:val="00DF5F2D"/>
    <w:rsid w:val="00DF6831"/>
    <w:rsid w:val="00E20792"/>
    <w:rsid w:val="00E22DF8"/>
    <w:rsid w:val="00E22F65"/>
    <w:rsid w:val="00E2326E"/>
    <w:rsid w:val="00E23538"/>
    <w:rsid w:val="00E24ADA"/>
    <w:rsid w:val="00E26941"/>
    <w:rsid w:val="00E3374A"/>
    <w:rsid w:val="00E357C7"/>
    <w:rsid w:val="00E3607B"/>
    <w:rsid w:val="00E408D3"/>
    <w:rsid w:val="00E4142D"/>
    <w:rsid w:val="00E41778"/>
    <w:rsid w:val="00E46BC9"/>
    <w:rsid w:val="00E473F4"/>
    <w:rsid w:val="00E54A1D"/>
    <w:rsid w:val="00E62FB4"/>
    <w:rsid w:val="00E64D14"/>
    <w:rsid w:val="00E65F9E"/>
    <w:rsid w:val="00E7001C"/>
    <w:rsid w:val="00E70846"/>
    <w:rsid w:val="00E8079B"/>
    <w:rsid w:val="00E82876"/>
    <w:rsid w:val="00E85979"/>
    <w:rsid w:val="00E85A2F"/>
    <w:rsid w:val="00E86944"/>
    <w:rsid w:val="00E8787D"/>
    <w:rsid w:val="00E93EBF"/>
    <w:rsid w:val="00E95CE9"/>
    <w:rsid w:val="00E975AB"/>
    <w:rsid w:val="00EA2AFE"/>
    <w:rsid w:val="00EB7384"/>
    <w:rsid w:val="00EC5024"/>
    <w:rsid w:val="00EC6ADC"/>
    <w:rsid w:val="00ED3722"/>
    <w:rsid w:val="00ED6816"/>
    <w:rsid w:val="00ED6F47"/>
    <w:rsid w:val="00EE09A5"/>
    <w:rsid w:val="00EE1CC4"/>
    <w:rsid w:val="00EF3AB6"/>
    <w:rsid w:val="00EF7ADB"/>
    <w:rsid w:val="00F00647"/>
    <w:rsid w:val="00F03189"/>
    <w:rsid w:val="00F10AA9"/>
    <w:rsid w:val="00F10EBB"/>
    <w:rsid w:val="00F23C82"/>
    <w:rsid w:val="00F31444"/>
    <w:rsid w:val="00F3154D"/>
    <w:rsid w:val="00F3303F"/>
    <w:rsid w:val="00F33B1D"/>
    <w:rsid w:val="00F40E69"/>
    <w:rsid w:val="00F43FFC"/>
    <w:rsid w:val="00F45B89"/>
    <w:rsid w:val="00F45DC4"/>
    <w:rsid w:val="00F521B5"/>
    <w:rsid w:val="00F53F24"/>
    <w:rsid w:val="00F64ED1"/>
    <w:rsid w:val="00F65976"/>
    <w:rsid w:val="00F66F13"/>
    <w:rsid w:val="00F7204E"/>
    <w:rsid w:val="00F738B9"/>
    <w:rsid w:val="00F83970"/>
    <w:rsid w:val="00F908FA"/>
    <w:rsid w:val="00F94881"/>
    <w:rsid w:val="00F94E2F"/>
    <w:rsid w:val="00F9674E"/>
    <w:rsid w:val="00F967C0"/>
    <w:rsid w:val="00F96846"/>
    <w:rsid w:val="00FA4DD2"/>
    <w:rsid w:val="00FB22AB"/>
    <w:rsid w:val="00FB4811"/>
    <w:rsid w:val="00FC683A"/>
    <w:rsid w:val="00FD2EE0"/>
    <w:rsid w:val="00FD43C3"/>
    <w:rsid w:val="00FD7341"/>
    <w:rsid w:val="00FE010D"/>
    <w:rsid w:val="00FE069D"/>
    <w:rsid w:val="00FE3B99"/>
    <w:rsid w:val="00FE4054"/>
    <w:rsid w:val="00FE57EF"/>
    <w:rsid w:val="00FF1D37"/>
    <w:rsid w:val="00FF6C00"/>
    <w:rsid w:val="1A1CBE0F"/>
    <w:rsid w:val="1BBF6B17"/>
    <w:rsid w:val="73EFAD5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AA97B"/>
  <w15:chartTrackingRefBased/>
  <w15:docId w15:val="{A933382B-772A-479C-ABC6-C37C5BA1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7E7C"/>
    <w:rPr>
      <w:sz w:val="16"/>
      <w:szCs w:val="16"/>
    </w:rPr>
  </w:style>
  <w:style w:type="paragraph" w:styleId="CommentText">
    <w:name w:val="annotation text"/>
    <w:basedOn w:val="Normal"/>
    <w:link w:val="CommentTextChar"/>
    <w:uiPriority w:val="99"/>
    <w:unhideWhenUsed/>
    <w:rsid w:val="00577E7C"/>
    <w:pPr>
      <w:spacing w:line="240" w:lineRule="auto"/>
    </w:pPr>
    <w:rPr>
      <w:sz w:val="20"/>
      <w:szCs w:val="25"/>
    </w:rPr>
  </w:style>
  <w:style w:type="character" w:customStyle="1" w:styleId="CommentTextChar">
    <w:name w:val="Comment Text Char"/>
    <w:basedOn w:val="DefaultParagraphFont"/>
    <w:link w:val="CommentText"/>
    <w:uiPriority w:val="99"/>
    <w:rsid w:val="00577E7C"/>
    <w:rPr>
      <w:sz w:val="20"/>
      <w:szCs w:val="25"/>
    </w:rPr>
  </w:style>
  <w:style w:type="character" w:styleId="Hyperlink">
    <w:name w:val="Hyperlink"/>
    <w:basedOn w:val="DefaultParagraphFont"/>
    <w:uiPriority w:val="99"/>
    <w:unhideWhenUsed/>
    <w:rsid w:val="00577E7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82671"/>
    <w:rPr>
      <w:b/>
      <w:bCs/>
    </w:rPr>
  </w:style>
  <w:style w:type="character" w:customStyle="1" w:styleId="CommentSubjectChar">
    <w:name w:val="Comment Subject Char"/>
    <w:basedOn w:val="CommentTextChar"/>
    <w:link w:val="CommentSubject"/>
    <w:uiPriority w:val="99"/>
    <w:semiHidden/>
    <w:rsid w:val="00282671"/>
    <w:rPr>
      <w:b/>
      <w:bCs/>
      <w:sz w:val="20"/>
      <w:szCs w:val="25"/>
    </w:rPr>
  </w:style>
  <w:style w:type="paragraph" w:styleId="Caption">
    <w:name w:val="caption"/>
    <w:basedOn w:val="Normal"/>
    <w:next w:val="Normal"/>
    <w:uiPriority w:val="35"/>
    <w:unhideWhenUsed/>
    <w:qFormat/>
    <w:rsid w:val="00644473"/>
    <w:pPr>
      <w:spacing w:after="200" w:line="240" w:lineRule="auto"/>
    </w:pPr>
    <w:rPr>
      <w:i/>
      <w:iCs/>
      <w:color w:val="44546A" w:themeColor="text2"/>
      <w:sz w:val="18"/>
      <w:szCs w:val="22"/>
    </w:rPr>
  </w:style>
  <w:style w:type="table" w:styleId="TableGrid">
    <w:name w:val="Table Grid"/>
    <w:basedOn w:val="TableNormal"/>
    <w:uiPriority w:val="39"/>
    <w:rsid w:val="00644473"/>
    <w:pPr>
      <w:pBdr>
        <w:top w:val="nil"/>
        <w:left w:val="nil"/>
        <w:bottom w:val="nil"/>
        <w:right w:val="nil"/>
        <w:between w:val="nil"/>
        <w:bar w:val="nil"/>
      </w:pBdr>
      <w:spacing w:after="0" w:line="240" w:lineRule="auto"/>
    </w:pPr>
    <w:rPr>
      <w:rFonts w:ascii="Times New Roman" w:eastAsiaTheme="minorHAnsi" w:hAnsi="Times New Roman" w:cs="Times New Roman"/>
      <w:sz w:val="20"/>
      <w:szCs w:val="20"/>
      <w:bdr w:val="nil"/>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A77"/>
  </w:style>
  <w:style w:type="paragraph" w:styleId="Footer">
    <w:name w:val="footer"/>
    <w:basedOn w:val="Normal"/>
    <w:link w:val="FooterChar"/>
    <w:uiPriority w:val="99"/>
    <w:unhideWhenUsed/>
    <w:rsid w:val="0041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A77"/>
  </w:style>
  <w:style w:type="paragraph" w:customStyle="1" w:styleId="EndNoteBibliographyTitle">
    <w:name w:val="EndNote Bibliography Title"/>
    <w:basedOn w:val="Normal"/>
    <w:link w:val="EndNoteBibliographyTitleChar"/>
    <w:rsid w:val="00D1741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1741E"/>
    <w:rPr>
      <w:rFonts w:ascii="Calibri" w:hAnsi="Calibri" w:cs="Calibri"/>
      <w:noProof/>
    </w:rPr>
  </w:style>
  <w:style w:type="paragraph" w:customStyle="1" w:styleId="EndNoteBibliography">
    <w:name w:val="EndNote Bibliography"/>
    <w:basedOn w:val="Normal"/>
    <w:link w:val="EndNoteBibliographyChar"/>
    <w:rsid w:val="00D1741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D1741E"/>
    <w:rPr>
      <w:rFonts w:ascii="Calibri" w:hAnsi="Calibri" w:cs="Calibri"/>
      <w:noProof/>
    </w:rPr>
  </w:style>
  <w:style w:type="character" w:customStyle="1" w:styleId="normaltextrun">
    <w:name w:val="normaltextrun"/>
    <w:basedOn w:val="DefaultParagraphFont"/>
    <w:rsid w:val="00B622CA"/>
  </w:style>
  <w:style w:type="paragraph" w:styleId="Revision">
    <w:name w:val="Revision"/>
    <w:hidden/>
    <w:uiPriority w:val="99"/>
    <w:semiHidden/>
    <w:rsid w:val="00C507D1"/>
    <w:pPr>
      <w:spacing w:after="0" w:line="240" w:lineRule="auto"/>
    </w:pPr>
  </w:style>
  <w:style w:type="paragraph" w:styleId="ListParagraph">
    <w:name w:val="List Paragraph"/>
    <w:basedOn w:val="Normal"/>
    <w:uiPriority w:val="34"/>
    <w:qFormat/>
    <w:rsid w:val="00B931C0"/>
    <w:pPr>
      <w:ind w:left="720"/>
      <w:contextualSpacing/>
    </w:pPr>
  </w:style>
  <w:style w:type="character" w:styleId="UnresolvedMention">
    <w:name w:val="Unresolved Mention"/>
    <w:basedOn w:val="DefaultParagraphFont"/>
    <w:uiPriority w:val="99"/>
    <w:semiHidden/>
    <w:unhideWhenUsed/>
    <w:rsid w:val="003D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1247">
      <w:bodyDiv w:val="1"/>
      <w:marLeft w:val="0"/>
      <w:marRight w:val="0"/>
      <w:marTop w:val="0"/>
      <w:marBottom w:val="0"/>
      <w:divBdr>
        <w:top w:val="none" w:sz="0" w:space="0" w:color="auto"/>
        <w:left w:val="none" w:sz="0" w:space="0" w:color="auto"/>
        <w:bottom w:val="none" w:sz="0" w:space="0" w:color="auto"/>
        <w:right w:val="none" w:sz="0" w:space="0" w:color="auto"/>
      </w:divBdr>
    </w:div>
    <w:div w:id="169639504">
      <w:bodyDiv w:val="1"/>
      <w:marLeft w:val="0"/>
      <w:marRight w:val="0"/>
      <w:marTop w:val="0"/>
      <w:marBottom w:val="0"/>
      <w:divBdr>
        <w:top w:val="none" w:sz="0" w:space="0" w:color="auto"/>
        <w:left w:val="none" w:sz="0" w:space="0" w:color="auto"/>
        <w:bottom w:val="none" w:sz="0" w:space="0" w:color="auto"/>
        <w:right w:val="none" w:sz="0" w:space="0" w:color="auto"/>
      </w:divBdr>
    </w:div>
    <w:div w:id="1157956739">
      <w:bodyDiv w:val="1"/>
      <w:marLeft w:val="0"/>
      <w:marRight w:val="0"/>
      <w:marTop w:val="0"/>
      <w:marBottom w:val="0"/>
      <w:divBdr>
        <w:top w:val="none" w:sz="0" w:space="0" w:color="auto"/>
        <w:left w:val="none" w:sz="0" w:space="0" w:color="auto"/>
        <w:bottom w:val="none" w:sz="0" w:space="0" w:color="auto"/>
        <w:right w:val="none" w:sz="0" w:space="0" w:color="auto"/>
      </w:divBdr>
    </w:div>
    <w:div w:id="1170364321">
      <w:bodyDiv w:val="1"/>
      <w:marLeft w:val="0"/>
      <w:marRight w:val="0"/>
      <w:marTop w:val="0"/>
      <w:marBottom w:val="0"/>
      <w:divBdr>
        <w:top w:val="none" w:sz="0" w:space="0" w:color="auto"/>
        <w:left w:val="none" w:sz="0" w:space="0" w:color="auto"/>
        <w:bottom w:val="none" w:sz="0" w:space="0" w:color="auto"/>
        <w:right w:val="none" w:sz="0" w:space="0" w:color="auto"/>
      </w:divBdr>
    </w:div>
    <w:div w:id="1343161463">
      <w:bodyDiv w:val="1"/>
      <w:marLeft w:val="0"/>
      <w:marRight w:val="0"/>
      <w:marTop w:val="0"/>
      <w:marBottom w:val="0"/>
      <w:divBdr>
        <w:top w:val="none" w:sz="0" w:space="0" w:color="auto"/>
        <w:left w:val="none" w:sz="0" w:space="0" w:color="auto"/>
        <w:bottom w:val="none" w:sz="0" w:space="0" w:color="auto"/>
        <w:right w:val="none" w:sz="0" w:space="0" w:color="auto"/>
      </w:divBdr>
    </w:div>
    <w:div w:id="1464276859">
      <w:bodyDiv w:val="1"/>
      <w:marLeft w:val="0"/>
      <w:marRight w:val="0"/>
      <w:marTop w:val="0"/>
      <w:marBottom w:val="0"/>
      <w:divBdr>
        <w:top w:val="none" w:sz="0" w:space="0" w:color="auto"/>
        <w:left w:val="none" w:sz="0" w:space="0" w:color="auto"/>
        <w:bottom w:val="none" w:sz="0" w:space="0" w:color="auto"/>
        <w:right w:val="none" w:sz="0" w:space="0" w:color="auto"/>
      </w:divBdr>
    </w:div>
    <w:div w:id="1599560260">
      <w:bodyDiv w:val="1"/>
      <w:marLeft w:val="0"/>
      <w:marRight w:val="0"/>
      <w:marTop w:val="0"/>
      <w:marBottom w:val="0"/>
      <w:divBdr>
        <w:top w:val="none" w:sz="0" w:space="0" w:color="auto"/>
        <w:left w:val="none" w:sz="0" w:space="0" w:color="auto"/>
        <w:bottom w:val="none" w:sz="0" w:space="0" w:color="auto"/>
        <w:right w:val="none" w:sz="0" w:space="0" w:color="auto"/>
      </w:divBdr>
    </w:div>
    <w:div w:id="1911034720">
      <w:bodyDiv w:val="1"/>
      <w:marLeft w:val="0"/>
      <w:marRight w:val="0"/>
      <w:marTop w:val="0"/>
      <w:marBottom w:val="0"/>
      <w:divBdr>
        <w:top w:val="none" w:sz="0" w:space="0" w:color="auto"/>
        <w:left w:val="none" w:sz="0" w:space="0" w:color="auto"/>
        <w:bottom w:val="none" w:sz="0" w:space="0" w:color="auto"/>
        <w:right w:val="none" w:sz="0" w:space="0" w:color="auto"/>
      </w:divBdr>
    </w:div>
    <w:div w:id="21401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c.eucast.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s.abraham@murdoch.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0EF332F43354DB08049C361C3863E" ma:contentTypeVersion="25" ma:contentTypeDescription="Create a new document." ma:contentTypeScope="" ma:versionID="f4b3c77e91e009e5f1962f80848f65b9">
  <xsd:schema xmlns:xsd="http://www.w3.org/2001/XMLSchema" xmlns:xs="http://www.w3.org/2001/XMLSchema" xmlns:p="http://schemas.microsoft.com/office/2006/metadata/properties" xmlns:ns2="77c85080-efe2-47a3-9836-ca25e863704c" xmlns:ns3="1f578271-d1d5-4b43-92b5-7d82e6b84624" xmlns:ns4="58ca0ab7-cbc6-49ae-8f7a-f9a779e16d08" targetNamespace="http://schemas.microsoft.com/office/2006/metadata/properties" ma:root="true" ma:fieldsID="010280ea3b28a995adde0557adacf5a8" ns2:_="" ns3:_="" ns4:_="">
    <xsd:import namespace="77c85080-efe2-47a3-9836-ca25e863704c"/>
    <xsd:import namespace="1f578271-d1d5-4b43-92b5-7d82e6b84624"/>
    <xsd:import namespace="58ca0ab7-cbc6-49ae-8f7a-f9a779e16d08"/>
    <xsd:element name="properties">
      <xsd:complexType>
        <xsd:sequence>
          <xsd:element name="documentManagement">
            <xsd:complexType>
              <xsd:all>
                <xsd:element ref="ns2:MediaServiceMetadata" minOccurs="0"/>
                <xsd:element ref="ns2:MediaServiceFastMetadata" minOccurs="0"/>
                <xsd:element ref="ns2:YearofPublica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85080-efe2-47a3-9836-ca25e8637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ofPublication" ma:index="10" nillable="true" ma:displayName="Year of Publication" ma:format="Dropdown" ma:internalName="YearofPublication">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78271-d1d5-4b43-92b5-7d82e6b84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a0ab7-cbc6-49ae-8f7a-f9a779e16d0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47fd414-6201-4d11-ac84-33b9950dd046}" ma:internalName="TaxCatchAll" ma:showField="CatchAllData" ma:web="1f578271-d1d5-4b43-92b5-7d82e6b8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c85080-efe2-47a3-9836-ca25e863704c">
      <Terms xmlns="http://schemas.microsoft.com/office/infopath/2007/PartnerControls"/>
    </lcf76f155ced4ddcb4097134ff3c332f>
    <YearofPublication xmlns="77c85080-efe2-47a3-9836-ca25e863704c" xsi:nil="true"/>
    <TaxCatchAll xmlns="58ca0ab7-cbc6-49ae-8f7a-f9a779e16d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BCE5F-B7EC-4238-8373-CE14C730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85080-efe2-47a3-9836-ca25e863704c"/>
    <ds:schemaRef ds:uri="1f578271-d1d5-4b43-92b5-7d82e6b84624"/>
    <ds:schemaRef ds:uri="58ca0ab7-cbc6-49ae-8f7a-f9a779e16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91370-ACDE-467F-BB6B-6FE17E6A1667}">
  <ds:schemaRefs>
    <ds:schemaRef ds:uri="http://schemas.microsoft.com/office/2006/metadata/properties"/>
    <ds:schemaRef ds:uri="http://schemas.microsoft.com/office/infopath/2007/PartnerControls"/>
    <ds:schemaRef ds:uri="77c85080-efe2-47a3-9836-ca25e863704c"/>
    <ds:schemaRef ds:uri="58ca0ab7-cbc6-49ae-8f7a-f9a779e16d08"/>
  </ds:schemaRefs>
</ds:datastoreItem>
</file>

<file path=customXml/itemProps3.xml><?xml version="1.0" encoding="utf-8"?>
<ds:datastoreItem xmlns:ds="http://schemas.openxmlformats.org/officeDocument/2006/customXml" ds:itemID="{C3DBDF9F-D5A6-415B-94A4-AA3627A01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Truswell</dc:creator>
  <cp:keywords/>
  <dc:description/>
  <cp:lastModifiedBy>Sam Abraham</cp:lastModifiedBy>
  <cp:revision>4</cp:revision>
  <dcterms:created xsi:type="dcterms:W3CDTF">2025-06-13T07:33:00Z</dcterms:created>
  <dcterms:modified xsi:type="dcterms:W3CDTF">2025-06-13T07:39:00Z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0x010100D040EF332F43354DB08049C361C3863E</vt:lpwstr>
  </property>
  <property fmtid="{D5CDD505-2E9C-101B-9397-08002B2CF9AE}" pid="3" name="MediaServiceImageTags">
    <vt:lpwstr/>
  </property>
  <property fmtid="{D5CDD505-2E9C-101B-9397-08002B2CF9AE}" pid="4" name="GrammarlyDocumentId">
    <vt:lpwstr>f4f8e47c54790b9349943aa5b92256d646956ddcd1fdb9627006d70fece1883f</vt:lpwstr>
  </property>
  <property fmtid="{D5CDD505-2E9C-101B-9397-08002B2CF9AE}" pid="5" name="ClassificationContentMarkingHeaderShapeIds">
    <vt:lpwstr>6ac61130,59289f6f,78c8b1a9</vt:lpwstr>
  </property>
  <property fmtid="{D5CDD505-2E9C-101B-9397-08002B2CF9AE}" pid="6" name="ClassificationContentMarkingHeaderFontProps">
    <vt:lpwstr>#008000,11,Calibri</vt:lpwstr>
  </property>
  <property fmtid="{D5CDD505-2E9C-101B-9397-08002B2CF9AE}" pid="7" name="ClassificationContentMarkingHeaderText">
    <vt:lpwstr>[OFFICIAL]</vt:lpwstr>
  </property>
  <property fmtid="{D5CDD505-2E9C-101B-9397-08002B2CF9AE}" pid="8" name="MSIP_Label_374f931c-4856-410e-abf2-8a4d5c5dd217_Enabled">
    <vt:lpwstr>true</vt:lpwstr>
  </property>
  <property fmtid="{D5CDD505-2E9C-101B-9397-08002B2CF9AE}" pid="9" name="MSIP_Label_374f931c-4856-410e-abf2-8a4d5c5dd217_SetDate">
    <vt:lpwstr>2025-03-25T04:04:22Z</vt:lpwstr>
  </property>
  <property fmtid="{D5CDD505-2E9C-101B-9397-08002B2CF9AE}" pid="10" name="MSIP_Label_374f931c-4856-410e-abf2-8a4d5c5dd217_Method">
    <vt:lpwstr>Standard</vt:lpwstr>
  </property>
  <property fmtid="{D5CDD505-2E9C-101B-9397-08002B2CF9AE}" pid="11" name="MSIP_Label_374f931c-4856-410e-abf2-8a4d5c5dd217_Name">
    <vt:lpwstr>Official</vt:lpwstr>
  </property>
  <property fmtid="{D5CDD505-2E9C-101B-9397-08002B2CF9AE}" pid="12" name="MSIP_Label_374f931c-4856-410e-abf2-8a4d5c5dd217_SiteId">
    <vt:lpwstr>c00d4c1b-cf7b-4e93-b7c7-10113a9bc230</vt:lpwstr>
  </property>
  <property fmtid="{D5CDD505-2E9C-101B-9397-08002B2CF9AE}" pid="13" name="MSIP_Label_374f931c-4856-410e-abf2-8a4d5c5dd217_ActionId">
    <vt:lpwstr>3f262d31-c64b-4c26-8bd6-b7e3d312618b</vt:lpwstr>
  </property>
  <property fmtid="{D5CDD505-2E9C-101B-9397-08002B2CF9AE}" pid="14" name="MSIP_Label_374f931c-4856-410e-abf2-8a4d5c5dd217_ContentBits">
    <vt:lpwstr>1</vt:lpwstr>
  </property>
  <property fmtid="{D5CDD505-2E9C-101B-9397-08002B2CF9AE}" pid="15" name="MSIP_Label_374f931c-4856-410e-abf2-8a4d5c5dd217_Tag">
    <vt:lpwstr>10, 3, 0, 1</vt:lpwstr>
  </property>
</Properties>
</file>