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F65" w:rsidRPr="00893F65" w:rsidRDefault="00893F65" w:rsidP="00893F65">
      <w:pPr>
        <w:spacing w:before="240" w:after="240" w:line="360" w:lineRule="auto"/>
        <w:rPr>
          <w:rFonts w:cs="Calibri"/>
          <w:bCs/>
        </w:rPr>
      </w:pPr>
      <w:r w:rsidRPr="00893F65">
        <w:rPr>
          <w:rFonts w:ascii="Calibri" w:hAnsi="Calibri"/>
          <w:i/>
        </w:rPr>
        <w:t>[Insert name of farm here] APIQ</w:t>
      </w:r>
      <w:r w:rsidRPr="00893F65">
        <w:rPr>
          <w:rFonts w:ascii="Calibri" w:hAnsi="Calibri"/>
          <w:i/>
        </w:rPr>
        <w:sym w:font="Wingdings" w:char="F0FC"/>
      </w:r>
      <w:r w:rsidRPr="00893F65">
        <w:rPr>
          <w:rFonts w:ascii="Calibri" w:hAnsi="Calibri"/>
          <w:i/>
        </w:rPr>
        <w:t>® Piggery Management Manual</w:t>
      </w:r>
      <w:r w:rsidRPr="00893F65">
        <w:rPr>
          <w:noProof/>
          <w:lang w:eastAsia="en-AU" w:bidi="ar-SA"/>
        </w:rPr>
        <w:t xml:space="preserve"> </w:t>
      </w:r>
    </w:p>
    <w:p w:rsidR="00BE51B9" w:rsidRPr="00893F65" w:rsidRDefault="00893F65">
      <w:pPr>
        <w:rPr>
          <w:b/>
        </w:rPr>
      </w:pPr>
      <w:r w:rsidRPr="00893F65">
        <w:rPr>
          <w:b/>
        </w:rPr>
        <w:t xml:space="preserve">APIQ </w:t>
      </w:r>
      <w:r w:rsidRPr="00893F65">
        <w:rPr>
          <w:rFonts w:ascii="Calibri" w:hAnsi="Calibri"/>
          <w:b/>
          <w:i/>
        </w:rPr>
        <w:sym w:font="Wingdings" w:char="F0FC"/>
      </w:r>
      <w:r w:rsidRPr="00893F65">
        <w:rPr>
          <w:rFonts w:ascii="Calibri" w:hAnsi="Calibri"/>
          <w:b/>
          <w:i/>
        </w:rPr>
        <w:t>®</w:t>
      </w:r>
      <w:r w:rsidRPr="00893F65">
        <w:rPr>
          <w:b/>
        </w:rPr>
        <w:t>Environmental Management Plan (EMP) Template</w:t>
      </w:r>
    </w:p>
    <w:p w:rsidR="00893F65" w:rsidRDefault="00893F65">
      <w:r>
        <w:t xml:space="preserve">This Template applies to APIQ </w:t>
      </w:r>
      <w:r w:rsidRPr="0056614A">
        <w:rPr>
          <w:rFonts w:ascii="Calibri" w:hAnsi="Calibri"/>
          <w:b/>
          <w:i/>
        </w:rPr>
        <w:sym w:font="Wingdings" w:char="F0FC"/>
      </w:r>
      <w:r>
        <w:rPr>
          <w:rFonts w:ascii="Calibri" w:hAnsi="Calibri"/>
          <w:b/>
          <w:i/>
        </w:rPr>
        <w:t>®</w:t>
      </w:r>
      <w:r>
        <w:t>Standard 6.1: Environmental Regulatory Compliance.</w:t>
      </w:r>
    </w:p>
    <w:p w:rsidR="00893F65" w:rsidRDefault="00893F65">
      <w:r>
        <w:t xml:space="preserve">It can be used by a producer to demonstrate that they are aware of the environmental risks associated with their piggery and as a minimum are aware of licence or environmental legislation in regards to their piggery. </w:t>
      </w:r>
    </w:p>
    <w:tbl>
      <w:tblPr>
        <w:tblStyle w:val="TableGrid"/>
        <w:tblW w:w="0" w:type="auto"/>
        <w:tblLook w:val="04A0" w:firstRow="1" w:lastRow="0" w:firstColumn="1" w:lastColumn="0" w:noHBand="0" w:noVBand="1"/>
      </w:tblPr>
      <w:tblGrid>
        <w:gridCol w:w="1696"/>
        <w:gridCol w:w="1910"/>
        <w:gridCol w:w="3052"/>
        <w:gridCol w:w="1275"/>
        <w:gridCol w:w="2268"/>
      </w:tblGrid>
      <w:tr w:rsidR="001F1132" w:rsidTr="00804495">
        <w:tc>
          <w:tcPr>
            <w:tcW w:w="1696" w:type="dxa"/>
          </w:tcPr>
          <w:p w:rsidR="001F1132" w:rsidRPr="007C1A69" w:rsidRDefault="001F1132">
            <w:pPr>
              <w:rPr>
                <w:b/>
              </w:rPr>
            </w:pPr>
            <w:r w:rsidRPr="007C1A69">
              <w:rPr>
                <w:b/>
              </w:rPr>
              <w:t>Area of Focus</w:t>
            </w:r>
          </w:p>
        </w:tc>
        <w:tc>
          <w:tcPr>
            <w:tcW w:w="1910" w:type="dxa"/>
          </w:tcPr>
          <w:p w:rsidR="001F1132" w:rsidRPr="007C1A69" w:rsidRDefault="001F1132" w:rsidP="001F1132">
            <w:pPr>
              <w:rPr>
                <w:b/>
              </w:rPr>
            </w:pPr>
            <w:r w:rsidRPr="007C1A69">
              <w:rPr>
                <w:b/>
              </w:rPr>
              <w:t>Risks Identified on- farm</w:t>
            </w:r>
          </w:p>
        </w:tc>
        <w:tc>
          <w:tcPr>
            <w:tcW w:w="3052" w:type="dxa"/>
          </w:tcPr>
          <w:p w:rsidR="001F1132" w:rsidRPr="007C1A69" w:rsidRDefault="001F1132">
            <w:pPr>
              <w:rPr>
                <w:b/>
              </w:rPr>
            </w:pPr>
            <w:r w:rsidRPr="007C1A69">
              <w:rPr>
                <w:b/>
              </w:rPr>
              <w:t>Actions / Processes in place on-farm to mitigate risks identified</w:t>
            </w:r>
          </w:p>
        </w:tc>
        <w:tc>
          <w:tcPr>
            <w:tcW w:w="1275" w:type="dxa"/>
          </w:tcPr>
          <w:p w:rsidR="001F1132" w:rsidRPr="007C1A69" w:rsidRDefault="001F1132">
            <w:pPr>
              <w:rPr>
                <w:b/>
              </w:rPr>
            </w:pPr>
            <w:r w:rsidRPr="007C1A69">
              <w:rPr>
                <w:b/>
              </w:rPr>
              <w:t>Date system reviewed</w:t>
            </w:r>
            <w:r w:rsidRPr="007C1A69">
              <w:rPr>
                <w:rStyle w:val="FootnoteReference"/>
                <w:b/>
              </w:rPr>
              <w:footnoteReference w:id="1"/>
            </w:r>
            <w:r w:rsidRPr="007C1A69">
              <w:rPr>
                <w:b/>
              </w:rPr>
              <w:t xml:space="preserve"> / by whom</w:t>
            </w:r>
          </w:p>
        </w:tc>
        <w:tc>
          <w:tcPr>
            <w:tcW w:w="2268" w:type="dxa"/>
          </w:tcPr>
          <w:p w:rsidR="001F1132" w:rsidRPr="007C1A69" w:rsidRDefault="001F1132">
            <w:pPr>
              <w:rPr>
                <w:b/>
              </w:rPr>
            </w:pPr>
            <w:r w:rsidRPr="007C1A69">
              <w:rPr>
                <w:b/>
              </w:rPr>
              <w:t xml:space="preserve">Improvements needed / made </w:t>
            </w:r>
          </w:p>
        </w:tc>
      </w:tr>
      <w:tr w:rsidR="001F1132" w:rsidTr="00804495">
        <w:tc>
          <w:tcPr>
            <w:tcW w:w="1696" w:type="dxa"/>
          </w:tcPr>
          <w:p w:rsidR="001F1132" w:rsidRDefault="007C1A69">
            <w:r>
              <w:t>Effluent Ponds / Containment</w:t>
            </w:r>
          </w:p>
        </w:tc>
        <w:tc>
          <w:tcPr>
            <w:tcW w:w="1910" w:type="dxa"/>
          </w:tcPr>
          <w:p w:rsidR="001F1132" w:rsidRDefault="001F1132"/>
          <w:p w:rsidR="00804495" w:rsidRDefault="00804495"/>
          <w:p w:rsidR="00804495" w:rsidRDefault="00804495"/>
        </w:tc>
        <w:tc>
          <w:tcPr>
            <w:tcW w:w="3052" w:type="dxa"/>
          </w:tcPr>
          <w:p w:rsidR="001F1132" w:rsidRDefault="001F1132"/>
        </w:tc>
        <w:tc>
          <w:tcPr>
            <w:tcW w:w="1275" w:type="dxa"/>
          </w:tcPr>
          <w:p w:rsidR="001F1132" w:rsidRDefault="001F1132"/>
        </w:tc>
        <w:tc>
          <w:tcPr>
            <w:tcW w:w="2268" w:type="dxa"/>
          </w:tcPr>
          <w:p w:rsidR="001F1132" w:rsidRDefault="001F1132"/>
        </w:tc>
      </w:tr>
      <w:tr w:rsidR="001F1132" w:rsidTr="00804495">
        <w:tc>
          <w:tcPr>
            <w:tcW w:w="1696" w:type="dxa"/>
          </w:tcPr>
          <w:p w:rsidR="001F1132" w:rsidRDefault="007C1A69">
            <w:r>
              <w:t>Effluent Runoff</w:t>
            </w:r>
          </w:p>
        </w:tc>
        <w:tc>
          <w:tcPr>
            <w:tcW w:w="1910" w:type="dxa"/>
          </w:tcPr>
          <w:p w:rsidR="00804495" w:rsidRDefault="00804495">
            <w:bookmarkStart w:id="0" w:name="_GoBack"/>
            <w:bookmarkEnd w:id="0"/>
          </w:p>
          <w:p w:rsidR="00804495" w:rsidRDefault="00804495"/>
          <w:p w:rsidR="00804495" w:rsidRDefault="00804495"/>
        </w:tc>
        <w:tc>
          <w:tcPr>
            <w:tcW w:w="3052" w:type="dxa"/>
          </w:tcPr>
          <w:p w:rsidR="001F1132" w:rsidRDefault="001F1132"/>
        </w:tc>
        <w:tc>
          <w:tcPr>
            <w:tcW w:w="1275" w:type="dxa"/>
          </w:tcPr>
          <w:p w:rsidR="001F1132" w:rsidRDefault="001F1132"/>
        </w:tc>
        <w:tc>
          <w:tcPr>
            <w:tcW w:w="2268" w:type="dxa"/>
          </w:tcPr>
          <w:p w:rsidR="001F1132" w:rsidRDefault="001F1132"/>
        </w:tc>
      </w:tr>
      <w:tr w:rsidR="001F1132" w:rsidTr="00804495">
        <w:tc>
          <w:tcPr>
            <w:tcW w:w="1696" w:type="dxa"/>
          </w:tcPr>
          <w:p w:rsidR="001F1132" w:rsidRDefault="007C1A69" w:rsidP="007C1A69">
            <w:r>
              <w:t>Effluent Disposal</w:t>
            </w:r>
          </w:p>
        </w:tc>
        <w:tc>
          <w:tcPr>
            <w:tcW w:w="1910" w:type="dxa"/>
          </w:tcPr>
          <w:p w:rsidR="001F1132" w:rsidRDefault="001F1132"/>
          <w:p w:rsidR="00804495" w:rsidRDefault="00804495"/>
          <w:p w:rsidR="00804495" w:rsidRDefault="00804495"/>
        </w:tc>
        <w:tc>
          <w:tcPr>
            <w:tcW w:w="3052" w:type="dxa"/>
          </w:tcPr>
          <w:p w:rsidR="001F1132" w:rsidRDefault="001F1132"/>
        </w:tc>
        <w:tc>
          <w:tcPr>
            <w:tcW w:w="1275" w:type="dxa"/>
          </w:tcPr>
          <w:p w:rsidR="001F1132" w:rsidRDefault="001F1132"/>
        </w:tc>
        <w:tc>
          <w:tcPr>
            <w:tcW w:w="2268" w:type="dxa"/>
          </w:tcPr>
          <w:p w:rsidR="001F1132" w:rsidRDefault="001F1132"/>
        </w:tc>
      </w:tr>
      <w:tr w:rsidR="001F1132" w:rsidTr="00804495">
        <w:tc>
          <w:tcPr>
            <w:tcW w:w="1696" w:type="dxa"/>
          </w:tcPr>
          <w:p w:rsidR="001F1132" w:rsidRDefault="007C1A69">
            <w:r>
              <w:t>Soil Monitoring</w:t>
            </w:r>
            <w:r w:rsidR="00AC6A01">
              <w:t xml:space="preserve"> </w:t>
            </w:r>
            <w:r w:rsidR="00AC6A01">
              <w:rPr>
                <w:rStyle w:val="FootnoteReference"/>
              </w:rPr>
              <w:footnoteReference w:id="2"/>
            </w:r>
          </w:p>
        </w:tc>
        <w:tc>
          <w:tcPr>
            <w:tcW w:w="1910" w:type="dxa"/>
          </w:tcPr>
          <w:p w:rsidR="00804495" w:rsidRDefault="00804495"/>
          <w:p w:rsidR="00804495" w:rsidRDefault="00804495"/>
          <w:p w:rsidR="00804495" w:rsidRDefault="00804495"/>
        </w:tc>
        <w:tc>
          <w:tcPr>
            <w:tcW w:w="3052" w:type="dxa"/>
          </w:tcPr>
          <w:p w:rsidR="001F1132" w:rsidRDefault="001F1132"/>
        </w:tc>
        <w:tc>
          <w:tcPr>
            <w:tcW w:w="1275" w:type="dxa"/>
          </w:tcPr>
          <w:p w:rsidR="001F1132" w:rsidRDefault="001F1132"/>
        </w:tc>
        <w:tc>
          <w:tcPr>
            <w:tcW w:w="2268" w:type="dxa"/>
          </w:tcPr>
          <w:p w:rsidR="001F1132" w:rsidRDefault="001F1132"/>
        </w:tc>
      </w:tr>
      <w:tr w:rsidR="007C1A69" w:rsidTr="00804495">
        <w:tc>
          <w:tcPr>
            <w:tcW w:w="1696" w:type="dxa"/>
          </w:tcPr>
          <w:p w:rsidR="007C1A69" w:rsidRDefault="007C1A69">
            <w:r>
              <w:t>Dust and Odour</w:t>
            </w:r>
          </w:p>
        </w:tc>
        <w:tc>
          <w:tcPr>
            <w:tcW w:w="1910" w:type="dxa"/>
          </w:tcPr>
          <w:p w:rsidR="00804495" w:rsidRDefault="00804495"/>
          <w:p w:rsidR="00804495" w:rsidRDefault="00804495"/>
          <w:p w:rsidR="00804495" w:rsidRDefault="00804495"/>
        </w:tc>
        <w:tc>
          <w:tcPr>
            <w:tcW w:w="3052" w:type="dxa"/>
          </w:tcPr>
          <w:p w:rsidR="007C1A69" w:rsidRDefault="007C1A69"/>
        </w:tc>
        <w:tc>
          <w:tcPr>
            <w:tcW w:w="1275" w:type="dxa"/>
          </w:tcPr>
          <w:p w:rsidR="007C1A69" w:rsidRDefault="007C1A69"/>
        </w:tc>
        <w:tc>
          <w:tcPr>
            <w:tcW w:w="2268" w:type="dxa"/>
          </w:tcPr>
          <w:p w:rsidR="007C1A69" w:rsidRDefault="007C1A69"/>
        </w:tc>
      </w:tr>
      <w:tr w:rsidR="007C1A69" w:rsidTr="00804495">
        <w:tc>
          <w:tcPr>
            <w:tcW w:w="1696" w:type="dxa"/>
          </w:tcPr>
          <w:p w:rsidR="007C1A69" w:rsidRDefault="007C1A69">
            <w:r>
              <w:t>Piggery Upkeep (see Standard 6.2)</w:t>
            </w:r>
          </w:p>
        </w:tc>
        <w:tc>
          <w:tcPr>
            <w:tcW w:w="1910" w:type="dxa"/>
          </w:tcPr>
          <w:p w:rsidR="00804495" w:rsidRDefault="00804495"/>
          <w:p w:rsidR="00804495" w:rsidRDefault="00804495"/>
          <w:p w:rsidR="00804495" w:rsidRDefault="00804495"/>
        </w:tc>
        <w:tc>
          <w:tcPr>
            <w:tcW w:w="3052" w:type="dxa"/>
          </w:tcPr>
          <w:p w:rsidR="007C1A69" w:rsidRDefault="007C1A69"/>
        </w:tc>
        <w:tc>
          <w:tcPr>
            <w:tcW w:w="1275" w:type="dxa"/>
          </w:tcPr>
          <w:p w:rsidR="007C1A69" w:rsidRDefault="007C1A69"/>
        </w:tc>
        <w:tc>
          <w:tcPr>
            <w:tcW w:w="2268" w:type="dxa"/>
          </w:tcPr>
          <w:p w:rsidR="007C1A69" w:rsidRDefault="007C1A69"/>
        </w:tc>
      </w:tr>
    </w:tbl>
    <w:p w:rsidR="00893F65" w:rsidRDefault="00893F65"/>
    <w:sectPr w:rsidR="00893F65" w:rsidSect="008044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78" w:rsidRDefault="00B92E78" w:rsidP="001F1132">
      <w:pPr>
        <w:spacing w:after="0" w:line="240" w:lineRule="auto"/>
      </w:pPr>
      <w:r>
        <w:separator/>
      </w:r>
    </w:p>
  </w:endnote>
  <w:endnote w:type="continuationSeparator" w:id="0">
    <w:p w:rsidR="00B92E78" w:rsidRDefault="00B92E78" w:rsidP="001F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78" w:rsidRDefault="00B92E78" w:rsidP="001F1132">
      <w:pPr>
        <w:spacing w:after="0" w:line="240" w:lineRule="auto"/>
      </w:pPr>
      <w:r>
        <w:separator/>
      </w:r>
    </w:p>
  </w:footnote>
  <w:footnote w:type="continuationSeparator" w:id="0">
    <w:p w:rsidR="00B92E78" w:rsidRDefault="00B92E78" w:rsidP="001F1132">
      <w:pPr>
        <w:spacing w:after="0" w:line="240" w:lineRule="auto"/>
      </w:pPr>
      <w:r>
        <w:continuationSeparator/>
      </w:r>
    </w:p>
  </w:footnote>
  <w:footnote w:id="1">
    <w:p w:rsidR="001F1132" w:rsidRPr="00AC6A01" w:rsidRDefault="001F1132">
      <w:pPr>
        <w:pStyle w:val="FootnoteText"/>
      </w:pPr>
      <w:r>
        <w:rPr>
          <w:rStyle w:val="FootnoteReference"/>
        </w:rPr>
        <w:footnoteRef/>
      </w:r>
      <w:r w:rsidR="00AC6A01">
        <w:t xml:space="preserve"> The </w:t>
      </w:r>
      <w:r w:rsidR="00AC6A01">
        <w:rPr>
          <w:i/>
        </w:rPr>
        <w:t>Areas of Focus</w:t>
      </w:r>
      <w:r w:rsidR="00AC6A01">
        <w:t xml:space="preserve"> listed in the template ought to be routinely reviewed as part of a piggeries internal audit process with actions taken to address issues found.</w:t>
      </w:r>
    </w:p>
  </w:footnote>
  <w:footnote w:id="2">
    <w:p w:rsidR="00AC6A01" w:rsidRDefault="00AC6A01">
      <w:pPr>
        <w:pStyle w:val="FootnoteText"/>
      </w:pPr>
      <w:r>
        <w:rPr>
          <w:rStyle w:val="FootnoteReference"/>
        </w:rPr>
        <w:footnoteRef/>
      </w:r>
      <w:r>
        <w:t xml:space="preserve"> </w:t>
      </w:r>
      <w:r w:rsidR="0049606B">
        <w:t xml:space="preserve">Which may apply for an Indoor Piggery.  This would not be required for IN, FR or OB certified piggeries where pigs are kept outdoors but are outside the piggeries controlled effluent, where soil testing has been completed as per Standards 6.3.1 through 6.3.4.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65"/>
    <w:rsid w:val="00026A45"/>
    <w:rsid w:val="00053CAD"/>
    <w:rsid w:val="0008306C"/>
    <w:rsid w:val="000E0733"/>
    <w:rsid w:val="000E21D8"/>
    <w:rsid w:val="000F4317"/>
    <w:rsid w:val="00135431"/>
    <w:rsid w:val="0013589A"/>
    <w:rsid w:val="0014027D"/>
    <w:rsid w:val="00152ED6"/>
    <w:rsid w:val="00162AB5"/>
    <w:rsid w:val="001A146B"/>
    <w:rsid w:val="001B2619"/>
    <w:rsid w:val="001E5491"/>
    <w:rsid w:val="001F1132"/>
    <w:rsid w:val="001F3EF0"/>
    <w:rsid w:val="00213528"/>
    <w:rsid w:val="00224A5A"/>
    <w:rsid w:val="00260C1B"/>
    <w:rsid w:val="00274230"/>
    <w:rsid w:val="00291A91"/>
    <w:rsid w:val="002A218B"/>
    <w:rsid w:val="002C6983"/>
    <w:rsid w:val="002D016B"/>
    <w:rsid w:val="002D5305"/>
    <w:rsid w:val="0030040F"/>
    <w:rsid w:val="00325758"/>
    <w:rsid w:val="00340AA2"/>
    <w:rsid w:val="0034637B"/>
    <w:rsid w:val="00375479"/>
    <w:rsid w:val="003A16D0"/>
    <w:rsid w:val="003D047B"/>
    <w:rsid w:val="00411CA8"/>
    <w:rsid w:val="00431962"/>
    <w:rsid w:val="00444E4D"/>
    <w:rsid w:val="00457127"/>
    <w:rsid w:val="004855CB"/>
    <w:rsid w:val="00487408"/>
    <w:rsid w:val="0049606B"/>
    <w:rsid w:val="004A20F1"/>
    <w:rsid w:val="0050307E"/>
    <w:rsid w:val="00517045"/>
    <w:rsid w:val="00524376"/>
    <w:rsid w:val="005471CE"/>
    <w:rsid w:val="00550A4D"/>
    <w:rsid w:val="00555D18"/>
    <w:rsid w:val="00562630"/>
    <w:rsid w:val="00562885"/>
    <w:rsid w:val="005649B6"/>
    <w:rsid w:val="00583D31"/>
    <w:rsid w:val="005A55D9"/>
    <w:rsid w:val="005D59D4"/>
    <w:rsid w:val="005E0622"/>
    <w:rsid w:val="00621408"/>
    <w:rsid w:val="0062781F"/>
    <w:rsid w:val="00632442"/>
    <w:rsid w:val="0064017A"/>
    <w:rsid w:val="00651B3F"/>
    <w:rsid w:val="0065506A"/>
    <w:rsid w:val="00672997"/>
    <w:rsid w:val="006807D2"/>
    <w:rsid w:val="00692274"/>
    <w:rsid w:val="006A7F81"/>
    <w:rsid w:val="006C009A"/>
    <w:rsid w:val="006F2984"/>
    <w:rsid w:val="00706928"/>
    <w:rsid w:val="0071439F"/>
    <w:rsid w:val="00716E2F"/>
    <w:rsid w:val="00722507"/>
    <w:rsid w:val="00725D24"/>
    <w:rsid w:val="00740EEE"/>
    <w:rsid w:val="0075021C"/>
    <w:rsid w:val="007B5EDB"/>
    <w:rsid w:val="007C1A69"/>
    <w:rsid w:val="007C3E0D"/>
    <w:rsid w:val="007E7702"/>
    <w:rsid w:val="007F29CC"/>
    <w:rsid w:val="00804495"/>
    <w:rsid w:val="00836CC2"/>
    <w:rsid w:val="008466A8"/>
    <w:rsid w:val="00850BF5"/>
    <w:rsid w:val="00865009"/>
    <w:rsid w:val="00865C59"/>
    <w:rsid w:val="00876C0D"/>
    <w:rsid w:val="00893F65"/>
    <w:rsid w:val="008A3DCC"/>
    <w:rsid w:val="008D6D2D"/>
    <w:rsid w:val="008F1A2E"/>
    <w:rsid w:val="009030B7"/>
    <w:rsid w:val="00910D4F"/>
    <w:rsid w:val="009547CC"/>
    <w:rsid w:val="00965898"/>
    <w:rsid w:val="009960D6"/>
    <w:rsid w:val="009A592A"/>
    <w:rsid w:val="009A795F"/>
    <w:rsid w:val="009E5B99"/>
    <w:rsid w:val="009E7697"/>
    <w:rsid w:val="009F2A90"/>
    <w:rsid w:val="009F37A9"/>
    <w:rsid w:val="009F66F0"/>
    <w:rsid w:val="00A03F68"/>
    <w:rsid w:val="00A14413"/>
    <w:rsid w:val="00A35B9C"/>
    <w:rsid w:val="00A40089"/>
    <w:rsid w:val="00A46999"/>
    <w:rsid w:val="00A704BA"/>
    <w:rsid w:val="00A71132"/>
    <w:rsid w:val="00A72581"/>
    <w:rsid w:val="00AA035A"/>
    <w:rsid w:val="00AC6A01"/>
    <w:rsid w:val="00AE0BB0"/>
    <w:rsid w:val="00AF1C52"/>
    <w:rsid w:val="00B30D40"/>
    <w:rsid w:val="00B34A59"/>
    <w:rsid w:val="00B4701C"/>
    <w:rsid w:val="00B569A2"/>
    <w:rsid w:val="00B92E78"/>
    <w:rsid w:val="00B93F15"/>
    <w:rsid w:val="00B96A02"/>
    <w:rsid w:val="00BB51DA"/>
    <w:rsid w:val="00BC7DFE"/>
    <w:rsid w:val="00BE51B9"/>
    <w:rsid w:val="00BE73F1"/>
    <w:rsid w:val="00BF7038"/>
    <w:rsid w:val="00BF74E8"/>
    <w:rsid w:val="00C04690"/>
    <w:rsid w:val="00C14849"/>
    <w:rsid w:val="00C357D0"/>
    <w:rsid w:val="00C63FBD"/>
    <w:rsid w:val="00CA7189"/>
    <w:rsid w:val="00CC71BE"/>
    <w:rsid w:val="00CD0A73"/>
    <w:rsid w:val="00CF1630"/>
    <w:rsid w:val="00D21861"/>
    <w:rsid w:val="00D26F87"/>
    <w:rsid w:val="00D33B5E"/>
    <w:rsid w:val="00D73FE6"/>
    <w:rsid w:val="00D81C2B"/>
    <w:rsid w:val="00DB23C8"/>
    <w:rsid w:val="00DC4627"/>
    <w:rsid w:val="00E01CC9"/>
    <w:rsid w:val="00E01FAB"/>
    <w:rsid w:val="00E20CBE"/>
    <w:rsid w:val="00E36B54"/>
    <w:rsid w:val="00E450FC"/>
    <w:rsid w:val="00E81B7E"/>
    <w:rsid w:val="00E8560F"/>
    <w:rsid w:val="00E85E96"/>
    <w:rsid w:val="00E86A82"/>
    <w:rsid w:val="00E9596C"/>
    <w:rsid w:val="00EC7FA8"/>
    <w:rsid w:val="00EF339D"/>
    <w:rsid w:val="00F37FAC"/>
    <w:rsid w:val="00F566E7"/>
    <w:rsid w:val="00F7451E"/>
    <w:rsid w:val="00F941B8"/>
    <w:rsid w:val="00FA09F4"/>
    <w:rsid w:val="00FA39B4"/>
    <w:rsid w:val="00FD5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2662F-C101-4E25-9914-CA26DB8D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F65"/>
    <w:pPr>
      <w:spacing w:after="200" w:line="276" w:lineRule="auto"/>
    </w:pPr>
    <w:rPr>
      <w:rFonts w:ascii="Gill Sans MT" w:eastAsia="Gill Sans MT" w:hAnsi="Gill Sans MT" w:cs="Times New Roman"/>
      <w:color w:val="595959"/>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1132"/>
    <w:pPr>
      <w:spacing w:after="0" w:line="240" w:lineRule="auto"/>
    </w:pPr>
    <w:rPr>
      <w:szCs w:val="20"/>
    </w:rPr>
  </w:style>
  <w:style w:type="character" w:customStyle="1" w:styleId="FootnoteTextChar">
    <w:name w:val="Footnote Text Char"/>
    <w:basedOn w:val="DefaultParagraphFont"/>
    <w:link w:val="FootnoteText"/>
    <w:uiPriority w:val="99"/>
    <w:semiHidden/>
    <w:rsid w:val="001F1132"/>
    <w:rPr>
      <w:rFonts w:ascii="Gill Sans MT" w:eastAsia="Gill Sans MT" w:hAnsi="Gill Sans MT" w:cs="Times New Roman"/>
      <w:color w:val="595959"/>
      <w:sz w:val="20"/>
      <w:szCs w:val="20"/>
      <w:lang w:bidi="en-US"/>
    </w:rPr>
  </w:style>
  <w:style w:type="character" w:styleId="FootnoteReference">
    <w:name w:val="footnote reference"/>
    <w:basedOn w:val="DefaultParagraphFont"/>
    <w:uiPriority w:val="99"/>
    <w:semiHidden/>
    <w:unhideWhenUsed/>
    <w:rsid w:val="001F1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1BE4169F564C46814BB9FAB023518F" ma:contentTypeVersion="22" ma:contentTypeDescription="Create a new document." ma:contentTypeScope="" ma:versionID="1090ca2bfa8751e9d1a6706c0c145016">
  <xsd:schema xmlns:xsd="http://www.w3.org/2001/XMLSchema" xmlns:xs="http://www.w3.org/2001/XMLSchema" xmlns:p="http://schemas.microsoft.com/office/2006/metadata/properties" xmlns:ns1="http://schemas.microsoft.com/sharepoint/v3" xmlns:ns2="9309d9e4-c2f9-4a9d-8201-9d5063684c05" xmlns:ns3="2afdbb08-ee7a-4098-a500-981b081c7a8a" targetNamespace="http://schemas.microsoft.com/office/2006/metadata/properties" ma:root="true" ma:fieldsID="104d4256ed56af41b7303f817756cf9f" ns1:_="" ns2:_="" ns3:_="">
    <xsd:import namespace="http://schemas.microsoft.com/sharepoint/v3"/>
    <xsd:import namespace="9309d9e4-c2f9-4a9d-8201-9d5063684c05"/>
    <xsd:import namespace="2afdbb08-ee7a-4098-a500-981b081c7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v4k6"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AverageRating" minOccurs="0"/>
                <xsd:element ref="ns1:RatingCount" minOccurs="0"/>
                <xsd:element ref="ns1:RatedBy" minOccurs="0"/>
                <xsd:element ref="ns1:Ratings" minOccurs="0"/>
                <xsd:element ref="ns1:LikesCount" minOccurs="0"/>
                <xsd:element ref="ns1:LikedBy" minOccurs="0"/>
                <xsd:element ref="ns2:n3ki" minOccurs="0"/>
                <xsd:element ref="ns2:vwh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1" nillable="true" ma:displayName="Rating (0-5)" ma:decimals="2" ma:description="Average value of all the ratings that have been submitted" ma:internalName="AverageRating" ma:readOnly="true">
      <xsd:simpleType>
        <xsd:restriction base="dms:Number"/>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RatedBy" ma:index="2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4" nillable="true" ma:displayName="User ratings" ma:description="User ratings for the item" ma:hidden="true" ma:internalName="Ratings">
      <xsd:simpleType>
        <xsd:restriction base="dms:Note"/>
      </xsd:simpleType>
    </xsd:element>
    <xsd:element name="LikesCount" ma:index="25" nillable="true" ma:displayName="Number of Likes" ma:internalName="LikesCount">
      <xsd:simpleType>
        <xsd:restriction base="dms:Unknown"/>
      </xsd:simpleType>
    </xsd:element>
    <xsd:element name="LikedBy" ma:index="2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9d9e4-c2f9-4a9d-8201-9d5063684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v4k6" ma:index="12" nillable="true" ma:displayName="Theme" ma:internalName="v4k6">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3ki" ma:index="27" nillable="true" ma:displayName="Text" ma:internalName="n3ki">
      <xsd:simpleType>
        <xsd:restriction base="dms:Text"/>
      </xsd:simpleType>
    </xsd:element>
    <xsd:element name="vwhe" ma:index="28" nillable="true" ma:displayName="Date and time" ma:internalName="vwhe">
      <xsd:simpleType>
        <xsd:restriction base="dms:DateTime"/>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dbb08-ee7a-4098-a500-981b081c7a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v4k6 xmlns="9309d9e4-c2f9-4a9d-8201-9d5063684c05" xsi:nil="true"/>
    <vwhe xmlns="9309d9e4-c2f9-4a9d-8201-9d5063684c05"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n3ki xmlns="9309d9e4-c2f9-4a9d-8201-9d5063684c05" xsi:nil="true"/>
  </documentManagement>
</p:properties>
</file>

<file path=customXml/itemProps1.xml><?xml version="1.0" encoding="utf-8"?>
<ds:datastoreItem xmlns:ds="http://schemas.openxmlformats.org/officeDocument/2006/customXml" ds:itemID="{4450BB75-943E-4B07-BEF7-7FA2AB08D952}">
  <ds:schemaRefs>
    <ds:schemaRef ds:uri="http://schemas.openxmlformats.org/officeDocument/2006/bibliography"/>
  </ds:schemaRefs>
</ds:datastoreItem>
</file>

<file path=customXml/itemProps2.xml><?xml version="1.0" encoding="utf-8"?>
<ds:datastoreItem xmlns:ds="http://schemas.openxmlformats.org/officeDocument/2006/customXml" ds:itemID="{303A8A4A-D703-4A3E-B4CF-10D60E1E4B12}"/>
</file>

<file path=customXml/itemProps3.xml><?xml version="1.0" encoding="utf-8"?>
<ds:datastoreItem xmlns:ds="http://schemas.openxmlformats.org/officeDocument/2006/customXml" ds:itemID="{B8D7AEB8-DA28-40CF-BD73-33CD79FC128E}"/>
</file>

<file path=customXml/itemProps4.xml><?xml version="1.0" encoding="utf-8"?>
<ds:datastoreItem xmlns:ds="http://schemas.openxmlformats.org/officeDocument/2006/customXml" ds:itemID="{4F1A3E0C-E48F-430E-8D22-1247B775BCD3}"/>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APIQM</dc:creator>
  <cp:keywords/>
  <dc:description/>
  <cp:lastModifiedBy>APIQM</cp:lastModifiedBy>
  <cp:revision>2</cp:revision>
  <dcterms:created xsi:type="dcterms:W3CDTF">2017-07-01T17:41:00Z</dcterms:created>
  <dcterms:modified xsi:type="dcterms:W3CDTF">2017-07-01T17:41:00Z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0x010100001BE4169F564C46814BB9FAB023518F</vt:lpwstr>
  </property>
</Properties>
</file>